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b/>
          <w:bCs/>
          <w:sz w:val="44"/>
          <w:szCs w:val="44"/>
        </w:rPr>
        <w:id w:val="147481155"/>
        <w15:color w:val="DBDBDB"/>
        <w:docPartObj>
          <w:docPartGallery w:val="Table of Contents"/>
          <w:docPartUnique/>
        </w:docPartObj>
      </w:sdtPr>
      <w:sdtEndPr>
        <w:rPr>
          <w:rFonts w:ascii="宋体" w:hAnsi="宋体"/>
          <w:b/>
          <w:bCs/>
          <w:sz w:val="44"/>
          <w:szCs w:val="44"/>
        </w:rPr>
      </w:sdtEndPr>
      <w:sdtContent>
        <w:p w14:paraId="20E6A239">
          <w:pPr>
            <w:jc w:val="center"/>
            <w:rPr>
              <w:b/>
              <w:bCs/>
              <w:sz w:val="44"/>
              <w:szCs w:val="44"/>
            </w:rPr>
          </w:pPr>
          <w:r>
            <w:rPr>
              <w:rFonts w:ascii="宋体" w:hAnsi="宋体"/>
              <w:b/>
              <w:bCs/>
              <w:sz w:val="44"/>
              <w:szCs w:val="44"/>
            </w:rPr>
            <w:t>目录</w:t>
          </w:r>
        </w:p>
        <w:p w14:paraId="4AEA24C5">
          <w:pPr>
            <w:pStyle w:val="1966"/>
            <w:tabs>
              <w:tab w:val="right" w:leader="dot" w:pos="8306"/>
            </w:tabs>
            <w:spacing w:line="360" w:lineRule="auto"/>
            <w:rPr>
              <w:b/>
              <w:sz w:val="22"/>
              <w:szCs w:val="22"/>
            </w:rPr>
          </w:pPr>
          <w:r>
            <w:fldChar w:fldCharType="begin"/>
          </w:r>
          <w:r>
            <w:instrText xml:space="preserve">TOC \o "1-2" \h \u </w:instrText>
          </w:r>
          <w:r>
            <w:fldChar w:fldCharType="separate"/>
          </w:r>
        </w:p>
        <w:p w14:paraId="13917F06">
          <w:pPr>
            <w:pStyle w:val="1966"/>
            <w:tabs>
              <w:tab w:val="right" w:leader="dot" w:pos="8306"/>
            </w:tabs>
            <w:spacing w:line="360" w:lineRule="auto"/>
            <w:rPr>
              <w:b/>
              <w:sz w:val="22"/>
              <w:szCs w:val="22"/>
            </w:rPr>
          </w:pPr>
          <w:r>
            <w:fldChar w:fldCharType="begin"/>
          </w:r>
          <w:r>
            <w:instrText xml:space="preserve"> HYPERLINK \l "_Toc17020" </w:instrText>
          </w:r>
          <w:r>
            <w:fldChar w:fldCharType="separate"/>
          </w:r>
          <w:r>
            <w:rPr>
              <w:rFonts w:hint="eastAsia"/>
              <w:b/>
              <w:sz w:val="22"/>
              <w:szCs w:val="22"/>
            </w:rPr>
            <w:t>一、建设项目环境影响分类管理名录对照</w:t>
          </w:r>
          <w:r>
            <w:rPr>
              <w:b/>
              <w:sz w:val="22"/>
              <w:szCs w:val="22"/>
            </w:rPr>
            <w:tab/>
          </w:r>
          <w:r>
            <w:rPr>
              <w:b/>
              <w:sz w:val="22"/>
              <w:szCs w:val="22"/>
            </w:rPr>
            <w:fldChar w:fldCharType="begin"/>
          </w:r>
          <w:r>
            <w:rPr>
              <w:b/>
              <w:sz w:val="22"/>
              <w:szCs w:val="22"/>
            </w:rPr>
            <w:instrText xml:space="preserve"> PAGEREF _Toc17020 \h </w:instrText>
          </w:r>
          <w:r>
            <w:rPr>
              <w:b/>
              <w:sz w:val="22"/>
              <w:szCs w:val="22"/>
            </w:rPr>
            <w:fldChar w:fldCharType="separate"/>
          </w:r>
          <w:r>
            <w:rPr>
              <w:b/>
              <w:sz w:val="22"/>
              <w:szCs w:val="22"/>
            </w:rPr>
            <w:t>2</w:t>
          </w:r>
          <w:r>
            <w:rPr>
              <w:b/>
              <w:sz w:val="22"/>
              <w:szCs w:val="22"/>
            </w:rPr>
            <w:fldChar w:fldCharType="end"/>
          </w:r>
          <w:r>
            <w:rPr>
              <w:b/>
              <w:sz w:val="22"/>
              <w:szCs w:val="22"/>
            </w:rPr>
            <w:fldChar w:fldCharType="end"/>
          </w:r>
        </w:p>
        <w:p w14:paraId="4FC2BA68">
          <w:pPr>
            <w:pStyle w:val="1966"/>
            <w:tabs>
              <w:tab w:val="right" w:leader="dot" w:pos="8306"/>
            </w:tabs>
            <w:spacing w:line="360" w:lineRule="auto"/>
            <w:rPr>
              <w:b/>
              <w:sz w:val="22"/>
              <w:szCs w:val="22"/>
            </w:rPr>
          </w:pPr>
          <w:r>
            <w:fldChar w:fldCharType="begin"/>
          </w:r>
          <w:r>
            <w:instrText xml:space="preserve"> HYPERLINK \l "_Toc25620" </w:instrText>
          </w:r>
          <w:r>
            <w:fldChar w:fldCharType="separate"/>
          </w:r>
          <w:r>
            <w:rPr>
              <w:rFonts w:hint="eastAsia"/>
              <w:b/>
              <w:sz w:val="22"/>
              <w:szCs w:val="22"/>
            </w:rPr>
            <w:t>二、</w:t>
          </w:r>
          <w:r>
            <w:rPr>
              <w:b/>
              <w:sz w:val="22"/>
              <w:szCs w:val="22"/>
            </w:rPr>
            <w:t>许可证管理等级判定</w:t>
          </w:r>
          <w:r>
            <w:rPr>
              <w:b/>
              <w:sz w:val="22"/>
              <w:szCs w:val="22"/>
            </w:rPr>
            <w:tab/>
          </w:r>
          <w:r>
            <w:rPr>
              <w:b/>
              <w:sz w:val="22"/>
              <w:szCs w:val="22"/>
            </w:rPr>
            <w:fldChar w:fldCharType="begin"/>
          </w:r>
          <w:r>
            <w:rPr>
              <w:b/>
              <w:sz w:val="22"/>
              <w:szCs w:val="22"/>
            </w:rPr>
            <w:instrText xml:space="preserve"> PAGEREF _Toc25620 \h </w:instrText>
          </w:r>
          <w:r>
            <w:rPr>
              <w:b/>
              <w:sz w:val="22"/>
              <w:szCs w:val="22"/>
            </w:rPr>
            <w:fldChar w:fldCharType="separate"/>
          </w:r>
          <w:r>
            <w:rPr>
              <w:b/>
              <w:sz w:val="22"/>
              <w:szCs w:val="22"/>
            </w:rPr>
            <w:t>2</w:t>
          </w:r>
          <w:r>
            <w:rPr>
              <w:b/>
              <w:sz w:val="22"/>
              <w:szCs w:val="22"/>
            </w:rPr>
            <w:fldChar w:fldCharType="end"/>
          </w:r>
          <w:r>
            <w:rPr>
              <w:b/>
              <w:sz w:val="22"/>
              <w:szCs w:val="22"/>
            </w:rPr>
            <w:fldChar w:fldCharType="end"/>
          </w:r>
        </w:p>
        <w:p w14:paraId="7C760E94">
          <w:pPr>
            <w:pStyle w:val="1966"/>
            <w:tabs>
              <w:tab w:val="right" w:leader="dot" w:pos="8306"/>
            </w:tabs>
            <w:spacing w:line="360" w:lineRule="auto"/>
            <w:rPr>
              <w:b/>
              <w:sz w:val="22"/>
              <w:szCs w:val="22"/>
            </w:rPr>
          </w:pPr>
          <w:r>
            <w:fldChar w:fldCharType="begin"/>
          </w:r>
          <w:r>
            <w:instrText xml:space="preserve"> HYPERLINK \l "_Toc16755" </w:instrText>
          </w:r>
          <w:r>
            <w:fldChar w:fldCharType="separate"/>
          </w:r>
          <w:r>
            <w:rPr>
              <w:rFonts w:hint="eastAsia"/>
              <w:b/>
              <w:sz w:val="22"/>
              <w:szCs w:val="22"/>
            </w:rPr>
            <w:t>三、位置图（具体见附图1、附图2、附图3、附图4、附图5）</w:t>
          </w:r>
          <w:r>
            <w:rPr>
              <w:b/>
              <w:sz w:val="22"/>
              <w:szCs w:val="22"/>
            </w:rPr>
            <w:tab/>
          </w:r>
          <w:r>
            <w:rPr>
              <w:b/>
              <w:sz w:val="22"/>
              <w:szCs w:val="22"/>
            </w:rPr>
            <w:fldChar w:fldCharType="begin"/>
          </w:r>
          <w:r>
            <w:rPr>
              <w:b/>
              <w:sz w:val="22"/>
              <w:szCs w:val="22"/>
            </w:rPr>
            <w:instrText xml:space="preserve"> PAGEREF _Toc16755 \h </w:instrText>
          </w:r>
          <w:r>
            <w:rPr>
              <w:b/>
              <w:sz w:val="22"/>
              <w:szCs w:val="22"/>
            </w:rPr>
            <w:fldChar w:fldCharType="separate"/>
          </w:r>
          <w:r>
            <w:rPr>
              <w:b/>
              <w:sz w:val="22"/>
              <w:szCs w:val="22"/>
            </w:rPr>
            <w:t>3</w:t>
          </w:r>
          <w:r>
            <w:rPr>
              <w:b/>
              <w:sz w:val="22"/>
              <w:szCs w:val="22"/>
            </w:rPr>
            <w:fldChar w:fldCharType="end"/>
          </w:r>
          <w:r>
            <w:rPr>
              <w:b/>
              <w:sz w:val="22"/>
              <w:szCs w:val="22"/>
            </w:rPr>
            <w:fldChar w:fldCharType="end"/>
          </w:r>
        </w:p>
        <w:p w14:paraId="581A4C0F">
          <w:pPr>
            <w:pStyle w:val="1967"/>
            <w:tabs>
              <w:tab w:val="right" w:leader="dot" w:pos="8306"/>
            </w:tabs>
            <w:spacing w:line="360" w:lineRule="auto"/>
            <w:ind w:left="420"/>
            <w:rPr>
              <w:sz w:val="22"/>
              <w:szCs w:val="22"/>
            </w:rPr>
          </w:pPr>
          <w:r>
            <w:fldChar w:fldCharType="begin"/>
          </w:r>
          <w:r>
            <w:instrText xml:space="preserve"> HYPERLINK \l "_Toc2065" </w:instrText>
          </w:r>
          <w:r>
            <w:fldChar w:fldCharType="separate"/>
          </w:r>
          <w:r>
            <w:rPr>
              <w:rFonts w:hint="eastAsia"/>
              <w:sz w:val="22"/>
              <w:szCs w:val="22"/>
            </w:rPr>
            <w:t>（1）环境保护目标</w:t>
          </w:r>
          <w:r>
            <w:rPr>
              <w:sz w:val="22"/>
              <w:szCs w:val="22"/>
            </w:rPr>
            <w:tab/>
          </w:r>
          <w:r>
            <w:rPr>
              <w:sz w:val="22"/>
              <w:szCs w:val="22"/>
            </w:rPr>
            <w:fldChar w:fldCharType="begin"/>
          </w:r>
          <w:r>
            <w:rPr>
              <w:sz w:val="22"/>
              <w:szCs w:val="22"/>
            </w:rPr>
            <w:instrText xml:space="preserve"> PAGEREF _Toc2065 \h </w:instrText>
          </w:r>
          <w:r>
            <w:rPr>
              <w:sz w:val="22"/>
              <w:szCs w:val="22"/>
            </w:rPr>
            <w:fldChar w:fldCharType="separate"/>
          </w:r>
          <w:r>
            <w:rPr>
              <w:sz w:val="22"/>
              <w:szCs w:val="22"/>
            </w:rPr>
            <w:t>3</w:t>
          </w:r>
          <w:r>
            <w:rPr>
              <w:sz w:val="22"/>
              <w:szCs w:val="22"/>
            </w:rPr>
            <w:fldChar w:fldCharType="end"/>
          </w:r>
          <w:r>
            <w:rPr>
              <w:sz w:val="22"/>
              <w:szCs w:val="22"/>
            </w:rPr>
            <w:fldChar w:fldCharType="end"/>
          </w:r>
        </w:p>
        <w:p w14:paraId="03E4C4E1">
          <w:pPr>
            <w:pStyle w:val="1966"/>
            <w:tabs>
              <w:tab w:val="right" w:leader="dot" w:pos="8306"/>
            </w:tabs>
            <w:spacing w:line="360" w:lineRule="auto"/>
            <w:rPr>
              <w:b/>
              <w:sz w:val="22"/>
              <w:szCs w:val="22"/>
            </w:rPr>
          </w:pPr>
          <w:r>
            <w:fldChar w:fldCharType="begin"/>
          </w:r>
          <w:r>
            <w:instrText xml:space="preserve"> HYPERLINK \l "_Toc26745" </w:instrText>
          </w:r>
          <w:r>
            <w:fldChar w:fldCharType="separate"/>
          </w:r>
          <w:r>
            <w:rPr>
              <w:rFonts w:hint="eastAsia"/>
              <w:b/>
              <w:sz w:val="22"/>
              <w:szCs w:val="22"/>
            </w:rPr>
            <w:t>四、与</w:t>
          </w:r>
          <w:r>
            <w:rPr>
              <w:rFonts w:hint="eastAsia"/>
              <w:b/>
              <w:kern w:val="2"/>
              <w:sz w:val="22"/>
              <w:szCs w:val="32"/>
            </w:rPr>
            <w:t>《杭州市生态环境分区管控动态更新方案》</w:t>
          </w:r>
          <w:r>
            <w:rPr>
              <w:rFonts w:hint="eastAsia"/>
              <w:b/>
              <w:sz w:val="22"/>
              <w:szCs w:val="22"/>
            </w:rPr>
            <w:t>及规划环评符合性分析</w:t>
          </w:r>
          <w:r>
            <w:rPr>
              <w:b/>
              <w:sz w:val="22"/>
              <w:szCs w:val="22"/>
            </w:rPr>
            <w:tab/>
          </w:r>
          <w:r>
            <w:rPr>
              <w:b/>
              <w:sz w:val="22"/>
              <w:szCs w:val="22"/>
            </w:rPr>
            <w:fldChar w:fldCharType="begin"/>
          </w:r>
          <w:r>
            <w:rPr>
              <w:b/>
              <w:sz w:val="22"/>
              <w:szCs w:val="22"/>
            </w:rPr>
            <w:instrText xml:space="preserve"> PAGEREF _Toc26745 \h </w:instrText>
          </w:r>
          <w:r>
            <w:rPr>
              <w:b/>
              <w:sz w:val="22"/>
              <w:szCs w:val="22"/>
            </w:rPr>
            <w:fldChar w:fldCharType="separate"/>
          </w:r>
          <w:r>
            <w:rPr>
              <w:b/>
              <w:sz w:val="22"/>
              <w:szCs w:val="22"/>
            </w:rPr>
            <w:t>3</w:t>
          </w:r>
          <w:r>
            <w:rPr>
              <w:b/>
              <w:sz w:val="22"/>
              <w:szCs w:val="22"/>
            </w:rPr>
            <w:fldChar w:fldCharType="end"/>
          </w:r>
          <w:r>
            <w:rPr>
              <w:b/>
              <w:sz w:val="22"/>
              <w:szCs w:val="22"/>
            </w:rPr>
            <w:fldChar w:fldCharType="end"/>
          </w:r>
        </w:p>
        <w:p w14:paraId="7A618EA7">
          <w:pPr>
            <w:pStyle w:val="1967"/>
            <w:tabs>
              <w:tab w:val="right" w:leader="dot" w:pos="8306"/>
            </w:tabs>
            <w:spacing w:line="360" w:lineRule="auto"/>
            <w:ind w:left="420"/>
            <w:rPr>
              <w:sz w:val="22"/>
              <w:szCs w:val="22"/>
            </w:rPr>
          </w:pPr>
          <w:r>
            <w:fldChar w:fldCharType="begin"/>
          </w:r>
          <w:r>
            <w:instrText xml:space="preserve"> HYPERLINK \l "_Toc31013" </w:instrText>
          </w:r>
          <w:r>
            <w:fldChar w:fldCharType="separate"/>
          </w:r>
          <w:r>
            <w:rPr>
              <w:kern w:val="2"/>
              <w:sz w:val="22"/>
              <w:szCs w:val="32"/>
            </w:rPr>
            <w:t>（1）</w:t>
          </w:r>
          <w:r>
            <w:rPr>
              <w:rFonts w:hint="eastAsia"/>
              <w:kern w:val="2"/>
              <w:sz w:val="22"/>
              <w:szCs w:val="32"/>
            </w:rPr>
            <w:t>《杭州市生态环境分区管控动态更新方案》</w:t>
          </w:r>
          <w:r>
            <w:rPr>
              <w:kern w:val="2"/>
              <w:sz w:val="22"/>
              <w:szCs w:val="32"/>
            </w:rPr>
            <w:t>相符性分析</w:t>
          </w:r>
          <w:r>
            <w:rPr>
              <w:sz w:val="22"/>
              <w:szCs w:val="22"/>
            </w:rPr>
            <w:tab/>
          </w:r>
          <w:r>
            <w:rPr>
              <w:sz w:val="22"/>
              <w:szCs w:val="22"/>
            </w:rPr>
            <w:fldChar w:fldCharType="begin"/>
          </w:r>
          <w:r>
            <w:rPr>
              <w:sz w:val="22"/>
              <w:szCs w:val="22"/>
            </w:rPr>
            <w:instrText xml:space="preserve"> PAGEREF _Toc31013 \h </w:instrText>
          </w:r>
          <w:r>
            <w:rPr>
              <w:sz w:val="22"/>
              <w:szCs w:val="22"/>
            </w:rPr>
            <w:fldChar w:fldCharType="separate"/>
          </w:r>
          <w:r>
            <w:rPr>
              <w:sz w:val="22"/>
              <w:szCs w:val="22"/>
            </w:rPr>
            <w:t>5</w:t>
          </w:r>
          <w:r>
            <w:rPr>
              <w:sz w:val="22"/>
              <w:szCs w:val="22"/>
            </w:rPr>
            <w:fldChar w:fldCharType="end"/>
          </w:r>
          <w:r>
            <w:rPr>
              <w:sz w:val="22"/>
              <w:szCs w:val="22"/>
            </w:rPr>
            <w:fldChar w:fldCharType="end"/>
          </w:r>
        </w:p>
        <w:p w14:paraId="0BAA8F3D">
          <w:pPr>
            <w:pStyle w:val="1966"/>
            <w:tabs>
              <w:tab w:val="right" w:leader="dot" w:pos="8306"/>
            </w:tabs>
            <w:spacing w:line="360" w:lineRule="auto"/>
            <w:rPr>
              <w:b/>
              <w:sz w:val="22"/>
              <w:szCs w:val="22"/>
            </w:rPr>
          </w:pPr>
          <w:r>
            <w:fldChar w:fldCharType="begin"/>
          </w:r>
          <w:r>
            <w:instrText xml:space="preserve"> HYPERLINK \l "_Toc1382" </w:instrText>
          </w:r>
          <w:r>
            <w:fldChar w:fldCharType="separate"/>
          </w:r>
          <w:r>
            <w:rPr>
              <w:rFonts w:hint="eastAsia"/>
              <w:b/>
              <w:sz w:val="22"/>
              <w:szCs w:val="22"/>
            </w:rPr>
            <w:t>五、《临平经济技术开发区异味重点企业整治提升方案暨行业提级增效管控标准》相符性分析</w:t>
          </w:r>
          <w:r>
            <w:rPr>
              <w:b/>
              <w:sz w:val="22"/>
              <w:szCs w:val="22"/>
            </w:rPr>
            <w:tab/>
          </w:r>
          <w:r>
            <w:rPr>
              <w:b/>
              <w:sz w:val="22"/>
              <w:szCs w:val="22"/>
            </w:rPr>
            <w:fldChar w:fldCharType="begin"/>
          </w:r>
          <w:r>
            <w:rPr>
              <w:b/>
              <w:sz w:val="22"/>
              <w:szCs w:val="22"/>
            </w:rPr>
            <w:instrText xml:space="preserve"> PAGEREF _Toc1382 \h </w:instrText>
          </w:r>
          <w:r>
            <w:rPr>
              <w:b/>
              <w:sz w:val="22"/>
              <w:szCs w:val="22"/>
            </w:rPr>
            <w:fldChar w:fldCharType="separate"/>
          </w:r>
          <w:r>
            <w:rPr>
              <w:b/>
            </w:rPr>
            <w:t>错误！未定义书签。</w:t>
          </w:r>
          <w:r>
            <w:rPr>
              <w:b/>
              <w:sz w:val="22"/>
              <w:szCs w:val="22"/>
            </w:rPr>
            <w:fldChar w:fldCharType="end"/>
          </w:r>
          <w:r>
            <w:rPr>
              <w:b/>
              <w:sz w:val="22"/>
              <w:szCs w:val="22"/>
            </w:rPr>
            <w:fldChar w:fldCharType="end"/>
          </w:r>
        </w:p>
        <w:p w14:paraId="2945C04C">
          <w:pPr>
            <w:pStyle w:val="1966"/>
            <w:tabs>
              <w:tab w:val="right" w:leader="dot" w:pos="8306"/>
            </w:tabs>
            <w:spacing w:line="360" w:lineRule="auto"/>
            <w:rPr>
              <w:b/>
              <w:sz w:val="22"/>
              <w:szCs w:val="22"/>
            </w:rPr>
          </w:pPr>
          <w:r>
            <w:fldChar w:fldCharType="begin"/>
          </w:r>
          <w:r>
            <w:instrText xml:space="preserve"> HYPERLINK \l "_Toc27144" </w:instrText>
          </w:r>
          <w:r>
            <w:fldChar w:fldCharType="separate"/>
          </w:r>
          <w:r>
            <w:rPr>
              <w:rFonts w:hint="eastAsia"/>
              <w:b/>
              <w:sz w:val="22"/>
              <w:szCs w:val="22"/>
            </w:rPr>
            <w:t>六、与《临平国家级经济技术开发区“区域环评+环境标准”改革实施方案》环评审批负面清单的匹配性分析</w:t>
          </w:r>
          <w:r>
            <w:rPr>
              <w:b/>
              <w:sz w:val="22"/>
              <w:szCs w:val="22"/>
            </w:rPr>
            <w:tab/>
          </w:r>
          <w:r>
            <w:rPr>
              <w:b/>
              <w:sz w:val="22"/>
              <w:szCs w:val="22"/>
            </w:rPr>
            <w:fldChar w:fldCharType="begin"/>
          </w:r>
          <w:r>
            <w:rPr>
              <w:b/>
              <w:sz w:val="22"/>
              <w:szCs w:val="22"/>
            </w:rPr>
            <w:instrText xml:space="preserve"> PAGEREF _Toc27144 \h </w:instrText>
          </w:r>
          <w:r>
            <w:rPr>
              <w:b/>
              <w:sz w:val="22"/>
              <w:szCs w:val="22"/>
            </w:rPr>
            <w:fldChar w:fldCharType="separate"/>
          </w:r>
          <w:r>
            <w:rPr>
              <w:b/>
              <w:sz w:val="22"/>
              <w:szCs w:val="22"/>
            </w:rPr>
            <w:t>11</w:t>
          </w:r>
          <w:r>
            <w:rPr>
              <w:b/>
              <w:sz w:val="22"/>
              <w:szCs w:val="22"/>
            </w:rPr>
            <w:fldChar w:fldCharType="end"/>
          </w:r>
          <w:r>
            <w:rPr>
              <w:b/>
              <w:sz w:val="22"/>
              <w:szCs w:val="22"/>
            </w:rPr>
            <w:fldChar w:fldCharType="end"/>
          </w:r>
        </w:p>
        <w:p w14:paraId="73EEF2BB">
          <w:pPr>
            <w:pStyle w:val="1966"/>
            <w:tabs>
              <w:tab w:val="right" w:leader="dot" w:pos="8306"/>
            </w:tabs>
            <w:spacing w:line="360" w:lineRule="auto"/>
            <w:rPr>
              <w:b/>
              <w:sz w:val="22"/>
              <w:szCs w:val="22"/>
            </w:rPr>
          </w:pPr>
          <w:r>
            <w:fldChar w:fldCharType="begin"/>
          </w:r>
          <w:r>
            <w:instrText xml:space="preserve"> HYPERLINK \l "_Toc4961" </w:instrText>
          </w:r>
          <w:r>
            <w:fldChar w:fldCharType="separate"/>
          </w:r>
          <w:r>
            <w:rPr>
              <w:b/>
              <w:sz w:val="22"/>
              <w:szCs w:val="22"/>
            </w:rPr>
            <w:t>附图1  建设项目地理位置图</w:t>
          </w:r>
          <w:r>
            <w:rPr>
              <w:b/>
              <w:sz w:val="22"/>
              <w:szCs w:val="22"/>
            </w:rPr>
            <w:tab/>
          </w:r>
          <w:r>
            <w:rPr>
              <w:b/>
              <w:sz w:val="22"/>
              <w:szCs w:val="22"/>
            </w:rPr>
            <w:fldChar w:fldCharType="begin"/>
          </w:r>
          <w:r>
            <w:rPr>
              <w:b/>
              <w:sz w:val="22"/>
              <w:szCs w:val="22"/>
            </w:rPr>
            <w:instrText xml:space="preserve"> PAGEREF _Toc4961 \h </w:instrText>
          </w:r>
          <w:r>
            <w:rPr>
              <w:b/>
              <w:sz w:val="22"/>
              <w:szCs w:val="22"/>
            </w:rPr>
            <w:fldChar w:fldCharType="separate"/>
          </w:r>
          <w:r>
            <w:rPr>
              <w:b/>
              <w:sz w:val="22"/>
              <w:szCs w:val="22"/>
            </w:rPr>
            <w:t>13</w:t>
          </w:r>
          <w:r>
            <w:rPr>
              <w:b/>
              <w:sz w:val="22"/>
              <w:szCs w:val="22"/>
            </w:rPr>
            <w:fldChar w:fldCharType="end"/>
          </w:r>
          <w:r>
            <w:rPr>
              <w:b/>
              <w:sz w:val="22"/>
              <w:szCs w:val="22"/>
            </w:rPr>
            <w:fldChar w:fldCharType="end"/>
          </w:r>
        </w:p>
        <w:p w14:paraId="30E2E8F2">
          <w:pPr>
            <w:pStyle w:val="1966"/>
            <w:tabs>
              <w:tab w:val="right" w:leader="dot" w:pos="8306"/>
            </w:tabs>
            <w:spacing w:line="360" w:lineRule="auto"/>
            <w:rPr>
              <w:b/>
              <w:sz w:val="22"/>
              <w:szCs w:val="22"/>
            </w:rPr>
          </w:pPr>
          <w:r>
            <w:fldChar w:fldCharType="begin"/>
          </w:r>
          <w:r>
            <w:instrText xml:space="preserve"> HYPERLINK \l "_Toc30540" </w:instrText>
          </w:r>
          <w:r>
            <w:fldChar w:fldCharType="separate"/>
          </w:r>
          <w:r>
            <w:rPr>
              <w:b/>
              <w:sz w:val="22"/>
              <w:szCs w:val="22"/>
            </w:rPr>
            <w:t xml:space="preserve">附图2  </w:t>
          </w:r>
          <w:r>
            <w:rPr>
              <w:rFonts w:hint="eastAsia"/>
              <w:b/>
              <w:sz w:val="22"/>
              <w:szCs w:val="22"/>
            </w:rPr>
            <w:t>建设项目周边环境示意图</w:t>
          </w:r>
          <w:r>
            <w:rPr>
              <w:b/>
              <w:sz w:val="22"/>
              <w:szCs w:val="22"/>
            </w:rPr>
            <w:tab/>
          </w:r>
          <w:r>
            <w:rPr>
              <w:b/>
              <w:sz w:val="22"/>
              <w:szCs w:val="22"/>
            </w:rPr>
            <w:fldChar w:fldCharType="begin"/>
          </w:r>
          <w:r>
            <w:rPr>
              <w:b/>
              <w:sz w:val="22"/>
              <w:szCs w:val="22"/>
            </w:rPr>
            <w:instrText xml:space="preserve"> PAGEREF _Toc30540 \h </w:instrText>
          </w:r>
          <w:r>
            <w:rPr>
              <w:b/>
              <w:sz w:val="22"/>
              <w:szCs w:val="22"/>
            </w:rPr>
            <w:fldChar w:fldCharType="separate"/>
          </w:r>
          <w:r>
            <w:rPr>
              <w:b/>
              <w:sz w:val="22"/>
              <w:szCs w:val="22"/>
            </w:rPr>
            <w:t>14</w:t>
          </w:r>
          <w:r>
            <w:rPr>
              <w:b/>
              <w:sz w:val="22"/>
              <w:szCs w:val="22"/>
            </w:rPr>
            <w:fldChar w:fldCharType="end"/>
          </w:r>
          <w:r>
            <w:rPr>
              <w:b/>
              <w:sz w:val="22"/>
              <w:szCs w:val="22"/>
            </w:rPr>
            <w:fldChar w:fldCharType="end"/>
          </w:r>
        </w:p>
        <w:p w14:paraId="0C0F4CE1">
          <w:pPr>
            <w:pStyle w:val="1966"/>
            <w:tabs>
              <w:tab w:val="right" w:leader="dot" w:pos="8306"/>
            </w:tabs>
            <w:spacing w:line="360" w:lineRule="auto"/>
            <w:rPr>
              <w:b/>
              <w:sz w:val="22"/>
              <w:szCs w:val="22"/>
            </w:rPr>
          </w:pPr>
          <w:r>
            <w:fldChar w:fldCharType="begin"/>
          </w:r>
          <w:r>
            <w:instrText xml:space="preserve"> HYPERLINK \l "_Toc14997" </w:instrText>
          </w:r>
          <w:r>
            <w:fldChar w:fldCharType="separate"/>
          </w:r>
          <w:r>
            <w:rPr>
              <w:b/>
              <w:sz w:val="22"/>
              <w:szCs w:val="22"/>
            </w:rPr>
            <w:t xml:space="preserve">附图3  </w:t>
          </w:r>
          <w:r>
            <w:rPr>
              <w:rFonts w:hint="eastAsia"/>
              <w:b/>
              <w:sz w:val="22"/>
              <w:szCs w:val="22"/>
            </w:rPr>
            <w:t>临平区</w:t>
          </w:r>
          <w:r>
            <w:rPr>
              <w:b/>
              <w:sz w:val="22"/>
              <w:szCs w:val="22"/>
            </w:rPr>
            <w:t>环境管控单元</w:t>
          </w:r>
          <w:r>
            <w:rPr>
              <w:rFonts w:hint="eastAsia"/>
              <w:b/>
              <w:sz w:val="22"/>
              <w:szCs w:val="22"/>
            </w:rPr>
            <w:t>分类</w:t>
          </w:r>
          <w:r>
            <w:rPr>
              <w:b/>
              <w:sz w:val="22"/>
              <w:szCs w:val="22"/>
            </w:rPr>
            <w:t>图</w:t>
          </w:r>
          <w:r>
            <w:rPr>
              <w:b/>
              <w:sz w:val="22"/>
              <w:szCs w:val="22"/>
            </w:rPr>
            <w:tab/>
          </w:r>
          <w:r>
            <w:rPr>
              <w:b/>
              <w:sz w:val="22"/>
              <w:szCs w:val="22"/>
            </w:rPr>
            <w:fldChar w:fldCharType="begin"/>
          </w:r>
          <w:r>
            <w:rPr>
              <w:b/>
              <w:sz w:val="22"/>
              <w:szCs w:val="22"/>
            </w:rPr>
            <w:instrText xml:space="preserve"> PAGEREF _Toc14997 \h </w:instrText>
          </w:r>
          <w:r>
            <w:rPr>
              <w:b/>
              <w:sz w:val="22"/>
              <w:szCs w:val="22"/>
            </w:rPr>
            <w:fldChar w:fldCharType="separate"/>
          </w:r>
          <w:r>
            <w:rPr>
              <w:b/>
              <w:sz w:val="22"/>
              <w:szCs w:val="22"/>
            </w:rPr>
            <w:t>15</w:t>
          </w:r>
          <w:r>
            <w:rPr>
              <w:b/>
              <w:sz w:val="22"/>
              <w:szCs w:val="22"/>
            </w:rPr>
            <w:fldChar w:fldCharType="end"/>
          </w:r>
          <w:r>
            <w:rPr>
              <w:b/>
              <w:sz w:val="22"/>
              <w:szCs w:val="22"/>
            </w:rPr>
            <w:fldChar w:fldCharType="end"/>
          </w:r>
        </w:p>
        <w:p w14:paraId="420519B9">
          <w:pPr>
            <w:pStyle w:val="1966"/>
            <w:tabs>
              <w:tab w:val="right" w:leader="dot" w:pos="8306"/>
            </w:tabs>
            <w:spacing w:line="360" w:lineRule="auto"/>
            <w:rPr>
              <w:b/>
              <w:sz w:val="22"/>
              <w:szCs w:val="22"/>
            </w:rPr>
          </w:pPr>
          <w:r>
            <w:fldChar w:fldCharType="begin"/>
          </w:r>
          <w:r>
            <w:instrText xml:space="preserve"> HYPERLINK \l "_Toc14025" </w:instrText>
          </w:r>
          <w:r>
            <w:fldChar w:fldCharType="separate"/>
          </w:r>
          <w:r>
            <w:rPr>
              <w:b/>
              <w:sz w:val="22"/>
              <w:szCs w:val="22"/>
            </w:rPr>
            <w:t>附图4  杭州市临平区</w:t>
          </w:r>
          <w:r>
            <w:rPr>
              <w:rFonts w:hint="eastAsia"/>
              <w:b/>
              <w:sz w:val="22"/>
              <w:szCs w:val="22"/>
            </w:rPr>
            <w:t>三区三线</w:t>
          </w:r>
          <w:r>
            <w:rPr>
              <w:b/>
              <w:sz w:val="22"/>
              <w:szCs w:val="22"/>
            </w:rPr>
            <w:t>图</w:t>
          </w:r>
          <w:r>
            <w:rPr>
              <w:b/>
              <w:sz w:val="22"/>
              <w:szCs w:val="22"/>
            </w:rPr>
            <w:tab/>
          </w:r>
          <w:r>
            <w:rPr>
              <w:b/>
              <w:sz w:val="22"/>
              <w:szCs w:val="22"/>
            </w:rPr>
            <w:fldChar w:fldCharType="begin"/>
          </w:r>
          <w:r>
            <w:rPr>
              <w:b/>
              <w:sz w:val="22"/>
              <w:szCs w:val="22"/>
            </w:rPr>
            <w:instrText xml:space="preserve"> PAGEREF _Toc14025 \h </w:instrText>
          </w:r>
          <w:r>
            <w:rPr>
              <w:b/>
              <w:sz w:val="22"/>
              <w:szCs w:val="22"/>
            </w:rPr>
            <w:fldChar w:fldCharType="separate"/>
          </w:r>
          <w:r>
            <w:rPr>
              <w:b/>
              <w:sz w:val="22"/>
              <w:szCs w:val="22"/>
            </w:rPr>
            <w:t>16</w:t>
          </w:r>
          <w:r>
            <w:rPr>
              <w:b/>
              <w:sz w:val="22"/>
              <w:szCs w:val="22"/>
            </w:rPr>
            <w:fldChar w:fldCharType="end"/>
          </w:r>
          <w:r>
            <w:rPr>
              <w:b/>
              <w:sz w:val="22"/>
              <w:szCs w:val="22"/>
            </w:rPr>
            <w:fldChar w:fldCharType="end"/>
          </w:r>
        </w:p>
        <w:p w14:paraId="58B89AB5">
          <w:pPr>
            <w:pStyle w:val="1966"/>
            <w:tabs>
              <w:tab w:val="right" w:leader="dot" w:pos="8306"/>
            </w:tabs>
            <w:spacing w:line="360" w:lineRule="auto"/>
            <w:rPr>
              <w:b/>
            </w:rPr>
          </w:pPr>
          <w:r>
            <w:fldChar w:fldCharType="begin"/>
          </w:r>
          <w:r>
            <w:instrText xml:space="preserve"> HYPERLINK \l "_Toc30322" </w:instrText>
          </w:r>
          <w:r>
            <w:fldChar w:fldCharType="separate"/>
          </w:r>
          <w:r>
            <w:rPr>
              <w:b/>
              <w:sz w:val="22"/>
              <w:szCs w:val="22"/>
            </w:rPr>
            <w:t>附图</w:t>
          </w:r>
          <w:r>
            <w:rPr>
              <w:rFonts w:hint="eastAsia"/>
              <w:b/>
              <w:sz w:val="22"/>
              <w:szCs w:val="22"/>
            </w:rPr>
            <w:t>5</w:t>
          </w:r>
          <w:r>
            <w:rPr>
              <w:b/>
              <w:sz w:val="22"/>
              <w:szCs w:val="22"/>
            </w:rPr>
            <w:t xml:space="preserve">  临平区</w:t>
          </w:r>
          <w:r>
            <w:rPr>
              <w:rFonts w:hint="eastAsia"/>
              <w:b/>
              <w:sz w:val="22"/>
              <w:szCs w:val="22"/>
            </w:rPr>
            <w:t>声环境功能区划图</w:t>
          </w:r>
          <w:r>
            <w:rPr>
              <w:b/>
              <w:sz w:val="22"/>
              <w:szCs w:val="22"/>
            </w:rPr>
            <w:tab/>
          </w:r>
          <w:r>
            <w:rPr>
              <w:b/>
              <w:sz w:val="22"/>
              <w:szCs w:val="22"/>
            </w:rPr>
            <w:fldChar w:fldCharType="begin"/>
          </w:r>
          <w:r>
            <w:rPr>
              <w:b/>
              <w:sz w:val="22"/>
              <w:szCs w:val="22"/>
            </w:rPr>
            <w:instrText xml:space="preserve"> PAGEREF _Toc30322 \h </w:instrText>
          </w:r>
          <w:r>
            <w:rPr>
              <w:b/>
              <w:sz w:val="22"/>
              <w:szCs w:val="22"/>
            </w:rPr>
            <w:fldChar w:fldCharType="separate"/>
          </w:r>
          <w:r>
            <w:rPr>
              <w:b/>
              <w:sz w:val="22"/>
              <w:szCs w:val="22"/>
            </w:rPr>
            <w:t>17</w:t>
          </w:r>
          <w:r>
            <w:rPr>
              <w:b/>
              <w:sz w:val="22"/>
              <w:szCs w:val="22"/>
            </w:rPr>
            <w:fldChar w:fldCharType="end"/>
          </w:r>
          <w:r>
            <w:rPr>
              <w:b/>
              <w:sz w:val="22"/>
              <w:szCs w:val="22"/>
            </w:rPr>
            <w:fldChar w:fldCharType="end"/>
          </w:r>
        </w:p>
        <w:p w14:paraId="3D13FD0D">
          <w:pPr>
            <w:pStyle w:val="1967"/>
            <w:tabs>
              <w:tab w:val="right" w:leader="dot" w:pos="8306"/>
            </w:tabs>
            <w:ind w:left="420"/>
          </w:pPr>
        </w:p>
        <w:p w14:paraId="42DFB9C2">
          <w:pPr>
            <w:rPr>
              <w:b/>
            </w:rPr>
          </w:pPr>
          <w:r>
            <w:rPr>
              <w:b/>
            </w:rPr>
            <w:fldChar w:fldCharType="end"/>
          </w:r>
        </w:p>
      </w:sdtContent>
    </w:sdt>
    <w:p w14:paraId="1BE61FBF">
      <w:pPr>
        <w:widowControl/>
        <w:spacing w:line="360" w:lineRule="auto"/>
        <w:rPr>
          <w:b/>
          <w:sz w:val="22"/>
          <w:szCs w:val="22"/>
        </w:rPr>
      </w:pPr>
      <w:r>
        <w:rPr>
          <w:rFonts w:hint="eastAsia"/>
          <w:b/>
          <w:sz w:val="22"/>
          <w:szCs w:val="22"/>
        </w:rPr>
        <w:t>附件1 项目基本情况</w:t>
      </w:r>
      <w:bookmarkStart w:id="40" w:name="_GoBack"/>
      <w:bookmarkEnd w:id="40"/>
    </w:p>
    <w:p w14:paraId="665C94D0">
      <w:pPr>
        <w:widowControl/>
        <w:spacing w:line="360" w:lineRule="auto"/>
        <w:rPr>
          <w:rFonts w:hint="default" w:eastAsia="宋体"/>
          <w:b/>
          <w:sz w:val="22"/>
          <w:szCs w:val="22"/>
          <w:lang w:val="en-US" w:eastAsia="zh-CN"/>
        </w:rPr>
      </w:pPr>
      <w:r>
        <w:rPr>
          <w:rFonts w:hint="eastAsia"/>
          <w:b/>
          <w:sz w:val="22"/>
          <w:szCs w:val="22"/>
        </w:rPr>
        <w:t xml:space="preserve">附件2 </w:t>
      </w:r>
      <w:r>
        <w:rPr>
          <w:rFonts w:hint="eastAsia"/>
          <w:b/>
          <w:sz w:val="22"/>
          <w:szCs w:val="22"/>
          <w:lang w:val="en-US" w:eastAsia="zh-CN"/>
        </w:rPr>
        <w:t>水性漆VOCs检测报告</w:t>
      </w:r>
    </w:p>
    <w:p w14:paraId="08C5D2C5">
      <w:pPr>
        <w:widowControl/>
        <w:spacing w:line="360" w:lineRule="auto"/>
        <w:rPr>
          <w:rFonts w:hint="eastAsia" w:eastAsia="宋体"/>
          <w:b/>
          <w:sz w:val="22"/>
          <w:szCs w:val="22"/>
          <w:lang w:eastAsia="zh-CN"/>
        </w:rPr>
      </w:pPr>
      <w:r>
        <w:rPr>
          <w:rFonts w:hint="eastAsia"/>
          <w:b/>
          <w:sz w:val="22"/>
          <w:szCs w:val="22"/>
        </w:rPr>
        <w:t xml:space="preserve">附件3 </w:t>
      </w:r>
      <w:r>
        <w:rPr>
          <w:rFonts w:hint="eastAsia"/>
          <w:b/>
          <w:sz w:val="22"/>
          <w:szCs w:val="22"/>
          <w:lang w:val="en-US" w:eastAsia="zh-CN"/>
        </w:rPr>
        <w:t>水性漆安全技术说明书（</w:t>
      </w:r>
      <w:r>
        <w:rPr>
          <w:rFonts w:hint="eastAsia"/>
          <w:b/>
          <w:sz w:val="22"/>
          <w:szCs w:val="22"/>
        </w:rPr>
        <w:t>MSDS</w:t>
      </w:r>
      <w:r>
        <w:rPr>
          <w:rFonts w:hint="eastAsia"/>
          <w:b/>
          <w:sz w:val="22"/>
          <w:szCs w:val="22"/>
          <w:lang w:eastAsia="zh-CN"/>
        </w:rPr>
        <w:t>）</w:t>
      </w:r>
    </w:p>
    <w:p w14:paraId="778ACBF4">
      <w:pPr>
        <w:rPr>
          <w:b/>
        </w:rPr>
        <w:sectPr>
          <w:footerReference r:id="rId3" w:type="default"/>
          <w:pgSz w:w="11906" w:h="16838"/>
          <w:pgMar w:top="1440" w:right="1800" w:bottom="1440" w:left="1800" w:header="851" w:footer="992" w:gutter="0"/>
          <w:pgNumType w:fmt="decimal"/>
          <w:cols w:space="425" w:num="1"/>
          <w:docGrid w:type="lines" w:linePitch="312" w:charSpace="0"/>
        </w:sectPr>
      </w:pPr>
    </w:p>
    <w:p w14:paraId="22BF55EA">
      <w:pPr>
        <w:rPr>
          <w:b/>
        </w:rPr>
      </w:pPr>
    </w:p>
    <w:p w14:paraId="214FB8AB">
      <w:pPr>
        <w:pStyle w:val="120"/>
        <w:adjustRightInd w:val="0"/>
        <w:snapToGrid w:val="0"/>
        <w:spacing w:line="360" w:lineRule="auto"/>
        <w:ind w:firstLine="0" w:firstLineChars="0"/>
        <w:jc w:val="center"/>
        <w:outlineLvl w:val="0"/>
        <w:rPr>
          <w:rFonts w:ascii="Times New Roman" w:hAnsi="Times New Roman" w:eastAsia="宋体"/>
          <w:b/>
          <w:sz w:val="32"/>
          <w:szCs w:val="32"/>
        </w:rPr>
      </w:pPr>
      <w:bookmarkStart w:id="0" w:name="_Toc32437"/>
      <w:r>
        <w:rPr>
          <w:rFonts w:hint="eastAsia" w:ascii="Times New Roman" w:hAnsi="Times New Roman" w:eastAsia="宋体"/>
          <w:b/>
          <w:sz w:val="32"/>
          <w:szCs w:val="32"/>
        </w:rPr>
        <w:t>杭州禾丰奥蜜尔家私有限公司家具、宠物家具</w:t>
      </w:r>
      <w:r>
        <w:rPr>
          <w:rFonts w:hint="eastAsia" w:ascii="Times New Roman" w:hAnsi="Times New Roman" w:eastAsia="宋体"/>
          <w:b/>
          <w:sz w:val="32"/>
          <w:szCs w:val="32"/>
        </w:rPr>
        <w:br w:type="textWrapping"/>
      </w:r>
      <w:r>
        <w:rPr>
          <w:rFonts w:hint="eastAsia" w:ascii="Times New Roman" w:hAnsi="Times New Roman" w:eastAsia="宋体"/>
          <w:b/>
          <w:sz w:val="32"/>
          <w:szCs w:val="32"/>
        </w:rPr>
        <w:t>迁建项目情况说明</w:t>
      </w:r>
      <w:bookmarkEnd w:id="0"/>
      <w:r>
        <w:rPr>
          <w:rFonts w:hint="eastAsia" w:ascii="Times New Roman" w:hAnsi="Times New Roman" w:eastAsia="宋体"/>
          <w:b/>
          <w:sz w:val="32"/>
          <w:szCs w:val="32"/>
        </w:rPr>
        <w:t xml:space="preserve">  </w:t>
      </w:r>
    </w:p>
    <w:p w14:paraId="0A6C369D">
      <w:pPr>
        <w:pStyle w:val="3"/>
        <w:spacing w:line="360" w:lineRule="auto"/>
        <w:jc w:val="left"/>
      </w:pPr>
      <w:bookmarkStart w:id="1" w:name="_Toc17020"/>
      <w:r>
        <w:rPr>
          <w:rFonts w:hint="eastAsia"/>
        </w:rPr>
        <w:t>一、建设项目环境影响分类管理名录对照</w:t>
      </w:r>
      <w:bookmarkEnd w:id="1"/>
    </w:p>
    <w:p w14:paraId="7477EB3D">
      <w:pPr>
        <w:pStyle w:val="120"/>
        <w:adjustRightInd w:val="0"/>
        <w:snapToGrid w:val="0"/>
        <w:spacing w:line="360" w:lineRule="auto"/>
        <w:rPr>
          <w:rFonts w:ascii="Times New Roman" w:hAnsi="Times New Roman" w:eastAsia="宋体"/>
        </w:rPr>
      </w:pPr>
      <w:r>
        <w:rPr>
          <w:rFonts w:hint="eastAsia" w:ascii="Times New Roman" w:hAnsi="Times New Roman" w:eastAsia="宋体"/>
        </w:rPr>
        <w:t>本项目生产部分为其他家具制造，对照建设项目环境影响评价分类管理名录（2021年版），本项目属于十八、家具制造业21中木制家具制造211和其他家具制造 219。本项目不涉及电镀工艺，不涉及使用溶剂型涂料，因此环评类别为报告表。</w:t>
      </w:r>
    </w:p>
    <w:p w14:paraId="37888AEE">
      <w:pPr>
        <w:pStyle w:val="116"/>
        <w:numPr>
          <w:ilvl w:val="0"/>
          <w:numId w:val="21"/>
        </w:numPr>
        <w:spacing w:before="156"/>
        <w:rPr>
          <w:b w:val="0"/>
          <w:bCs/>
        </w:rPr>
      </w:pPr>
      <w:r>
        <w:rPr>
          <w:rFonts w:hint="eastAsia"/>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6D64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3318" w:type="dxa"/>
            <w:gridSpan w:val="2"/>
            <w:tcBorders>
              <w:tl2br w:val="single" w:color="auto" w:sz="4" w:space="0"/>
            </w:tcBorders>
          </w:tcPr>
          <w:p w14:paraId="0C46AB66">
            <w:pPr>
              <w:ind w:left="-105" w:leftChars="-50" w:right="-105" w:rightChars="-50"/>
              <w:jc w:val="right"/>
            </w:pPr>
            <w:r>
              <w:t>环评类别</w:t>
            </w:r>
          </w:p>
          <w:p w14:paraId="0E2A20DB">
            <w:pPr>
              <w:ind w:left="-105" w:leftChars="-50" w:right="-105" w:rightChars="-50"/>
            </w:pPr>
            <w:r>
              <w:t>项目类别</w:t>
            </w:r>
          </w:p>
        </w:tc>
        <w:tc>
          <w:tcPr>
            <w:tcW w:w="1922" w:type="dxa"/>
            <w:vAlign w:val="center"/>
          </w:tcPr>
          <w:p w14:paraId="013B18E6">
            <w:pPr>
              <w:ind w:left="-105" w:leftChars="-50" w:right="-105" w:rightChars="-50"/>
              <w:jc w:val="center"/>
            </w:pPr>
            <w:r>
              <w:t>报告书</w:t>
            </w:r>
          </w:p>
        </w:tc>
        <w:tc>
          <w:tcPr>
            <w:tcW w:w="2268" w:type="dxa"/>
            <w:vAlign w:val="center"/>
          </w:tcPr>
          <w:p w14:paraId="5336F0E4">
            <w:pPr>
              <w:ind w:left="-105" w:leftChars="-50" w:right="-105" w:rightChars="-50"/>
              <w:jc w:val="center"/>
            </w:pPr>
            <w:r>
              <w:t>报告表</w:t>
            </w:r>
          </w:p>
        </w:tc>
        <w:tc>
          <w:tcPr>
            <w:tcW w:w="788" w:type="dxa"/>
            <w:vAlign w:val="center"/>
          </w:tcPr>
          <w:p w14:paraId="7DC443A7">
            <w:pPr>
              <w:ind w:left="-105" w:leftChars="-50" w:right="-105" w:rightChars="-50"/>
              <w:jc w:val="center"/>
            </w:pPr>
            <w:r>
              <w:t>登记表</w:t>
            </w:r>
          </w:p>
        </w:tc>
      </w:tr>
      <w:tr w14:paraId="7CCF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B13AC8F">
            <w:pPr>
              <w:ind w:left="-105" w:leftChars="-50" w:right="-105" w:rightChars="-50"/>
            </w:pPr>
            <w:r>
              <w:rPr>
                <w:rFonts w:hint="eastAsia"/>
              </w:rPr>
              <w:t>十八、家具制造业 21</w:t>
            </w:r>
          </w:p>
        </w:tc>
      </w:tr>
      <w:tr w14:paraId="239D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462195E3">
            <w:pPr>
              <w:ind w:left="-105" w:leftChars="-50" w:right="-105" w:rightChars="-50"/>
            </w:pPr>
            <w:r>
              <w:rPr>
                <w:rFonts w:hint="eastAsia"/>
                <w:bCs/>
              </w:rPr>
              <w:t>36</w:t>
            </w:r>
          </w:p>
        </w:tc>
        <w:tc>
          <w:tcPr>
            <w:tcW w:w="2892" w:type="dxa"/>
            <w:vAlign w:val="center"/>
          </w:tcPr>
          <w:p w14:paraId="1180024E">
            <w:pPr>
              <w:ind w:right="-105" w:rightChars="-50"/>
            </w:pPr>
            <w:r>
              <w:rPr>
                <w:rFonts w:hint="eastAsia"/>
                <w:b/>
                <w:bCs/>
              </w:rPr>
              <w:t>木质家具制造 211*</w:t>
            </w:r>
            <w:r>
              <w:rPr>
                <w:rFonts w:hint="eastAsia"/>
              </w:rPr>
              <w:t xml:space="preserve">；竹、藤家具制造 212*；金属家具制造 </w:t>
            </w:r>
          </w:p>
          <w:p w14:paraId="76E51FD5">
            <w:pPr>
              <w:ind w:right="-105" w:rightChars="-50"/>
            </w:pPr>
            <w:r>
              <w:rPr>
                <w:rFonts w:hint="eastAsia"/>
              </w:rPr>
              <w:t>213*；塑料家具制造 214*；</w:t>
            </w:r>
            <w:r>
              <w:rPr>
                <w:rFonts w:hint="eastAsia"/>
                <w:b/>
                <w:bCs/>
              </w:rPr>
              <w:t xml:space="preserve">其他家具制造 219* </w:t>
            </w:r>
          </w:p>
        </w:tc>
        <w:tc>
          <w:tcPr>
            <w:tcW w:w="1922" w:type="dxa"/>
            <w:vAlign w:val="center"/>
          </w:tcPr>
          <w:p w14:paraId="4F0322BE">
            <w:pPr>
              <w:ind w:left="-105" w:leftChars="-50" w:right="-105" w:rightChars="-50"/>
            </w:pPr>
            <w:r>
              <w:rPr>
                <w:rFonts w:hint="eastAsia"/>
              </w:rPr>
              <w:t>铅蓄电池制造；太阳能电池片生产；有电镀工艺的；年用溶剂型涂料(含稀释剂)10吨及以上的</w:t>
            </w:r>
          </w:p>
        </w:tc>
        <w:tc>
          <w:tcPr>
            <w:tcW w:w="2268" w:type="dxa"/>
            <w:vAlign w:val="center"/>
          </w:tcPr>
          <w:p w14:paraId="4658B04F">
            <w:pPr>
              <w:ind w:left="-105" w:leftChars="-50" w:right="-105" w:rightChars="-50"/>
            </w:pPr>
            <w:r>
              <w:rPr>
                <w:rFonts w:hint="eastAsia"/>
              </w:rPr>
              <w:t>其他(仅分割、焊接、组装的除外；年用非溶剂型低V0Cs含量涂料10吨以下的除外)</w:t>
            </w:r>
          </w:p>
        </w:tc>
        <w:tc>
          <w:tcPr>
            <w:tcW w:w="788" w:type="dxa"/>
            <w:vAlign w:val="center"/>
          </w:tcPr>
          <w:p w14:paraId="5370A602">
            <w:pPr>
              <w:ind w:left="-105" w:leftChars="-50" w:right="-105" w:rightChars="-50"/>
              <w:jc w:val="center"/>
            </w:pPr>
            <w:r>
              <w:t>/</w:t>
            </w:r>
          </w:p>
        </w:tc>
      </w:tr>
      <w:tr w14:paraId="2F4D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vAlign w:val="center"/>
          </w:tcPr>
          <w:p w14:paraId="6AD2AD3E">
            <w:pPr>
              <w:ind w:left="-105" w:leftChars="-50" w:right="-105" w:rightChars="-50"/>
              <w:jc w:val="left"/>
            </w:pPr>
            <w:bookmarkStart w:id="2" w:name="_Toc25620"/>
            <w:r>
              <w:rPr>
                <w:rFonts w:hint="eastAsia"/>
              </w:rPr>
              <w:t>名录中所标“*”号，指在工业建筑中生产的建设项目。工业建筑的定义参见《工程结构设计基本术语标准》（GB/T 50083-2014），指提供生产用的各种建筑物，如车间、厂前区建筑、生活间、动力站、库房和运输设施等。</w:t>
            </w:r>
          </w:p>
        </w:tc>
      </w:tr>
    </w:tbl>
    <w:p w14:paraId="39FC4F60">
      <w:pPr>
        <w:pStyle w:val="3"/>
        <w:spacing w:line="360" w:lineRule="auto"/>
        <w:jc w:val="left"/>
      </w:pPr>
      <w:r>
        <w:rPr>
          <w:rFonts w:hint="eastAsia"/>
        </w:rPr>
        <w:t>二、</w:t>
      </w:r>
      <w:r>
        <w:t>许可证管理等级判定</w:t>
      </w:r>
      <w:bookmarkEnd w:id="2"/>
    </w:p>
    <w:p w14:paraId="1F7DE0CE">
      <w:pPr>
        <w:pStyle w:val="120"/>
        <w:adjustRightInd w:val="0"/>
        <w:snapToGrid w:val="0"/>
        <w:spacing w:line="360" w:lineRule="auto"/>
        <w:rPr>
          <w:rFonts w:ascii="Times New Roman" w:hAnsi="Times New Roman" w:eastAsia="宋体"/>
        </w:rPr>
      </w:pPr>
      <w:r>
        <w:rPr>
          <w:rFonts w:ascii="Times New Roman" w:hAnsi="Times New Roman" w:eastAsia="宋体"/>
        </w:rPr>
        <w:t>根据《固定污染源排污许可分类管理名录》（2019年版），</w:t>
      </w:r>
      <w:r>
        <w:rPr>
          <w:rFonts w:hint="eastAsia" w:ascii="Times New Roman" w:hAnsi="Times New Roman" w:eastAsia="宋体"/>
        </w:rPr>
        <w:t>本项目管理类别判定见下表</w:t>
      </w:r>
      <w:r>
        <w:rPr>
          <w:rFonts w:ascii="Times New Roman" w:hAnsi="Times New Roman" w:eastAsia="宋体"/>
        </w:rPr>
        <w:t>。</w:t>
      </w:r>
    </w:p>
    <w:p w14:paraId="3B260AE4">
      <w:pPr>
        <w:pStyle w:val="116"/>
        <w:numPr>
          <w:ilvl w:val="0"/>
          <w:numId w:val="21"/>
        </w:numPr>
        <w:spacing w:before="156"/>
        <w:rPr>
          <w:b w:val="0"/>
          <w:bCs/>
        </w:rPr>
      </w:pPr>
      <w:r>
        <w:rPr>
          <w:rFonts w:hint="eastAsia"/>
        </w:rPr>
        <w:t>企业排污许可管理类别归类表</w:t>
      </w:r>
    </w:p>
    <w:tbl>
      <w:tblPr>
        <w:tblStyle w:val="88"/>
        <w:tblW w:w="502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
        <w:gridCol w:w="1419"/>
        <w:gridCol w:w="2036"/>
        <w:gridCol w:w="2372"/>
        <w:gridCol w:w="926"/>
        <w:gridCol w:w="1019"/>
      </w:tblGrid>
      <w:tr w14:paraId="4A321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0" w:type="dxa"/>
            <w:vAlign w:val="center"/>
          </w:tcPr>
          <w:p w14:paraId="3D7C8E51">
            <w:pPr>
              <w:adjustRightInd w:val="0"/>
              <w:snapToGrid w:val="0"/>
              <w:jc w:val="center"/>
            </w:pPr>
            <w:r>
              <w:t>序号</w:t>
            </w:r>
          </w:p>
        </w:tc>
        <w:tc>
          <w:tcPr>
            <w:tcW w:w="1418" w:type="dxa"/>
            <w:vAlign w:val="center"/>
          </w:tcPr>
          <w:p w14:paraId="6E6C89D2">
            <w:pPr>
              <w:adjustRightInd w:val="0"/>
              <w:snapToGrid w:val="0"/>
              <w:jc w:val="center"/>
            </w:pPr>
            <w:r>
              <w:t>行业类别</w:t>
            </w:r>
          </w:p>
        </w:tc>
        <w:tc>
          <w:tcPr>
            <w:tcW w:w="2034" w:type="dxa"/>
            <w:vAlign w:val="center"/>
          </w:tcPr>
          <w:p w14:paraId="54F039AB">
            <w:pPr>
              <w:adjustRightInd w:val="0"/>
              <w:snapToGrid w:val="0"/>
              <w:jc w:val="center"/>
            </w:pPr>
            <w:r>
              <w:t>重点管理</w:t>
            </w:r>
          </w:p>
        </w:tc>
        <w:tc>
          <w:tcPr>
            <w:tcW w:w="2369" w:type="dxa"/>
            <w:vAlign w:val="center"/>
          </w:tcPr>
          <w:p w14:paraId="1EE1430B">
            <w:pPr>
              <w:adjustRightInd w:val="0"/>
              <w:snapToGrid w:val="0"/>
              <w:jc w:val="center"/>
            </w:pPr>
            <w:r>
              <w:t>简化管理</w:t>
            </w:r>
          </w:p>
        </w:tc>
        <w:tc>
          <w:tcPr>
            <w:tcW w:w="925" w:type="dxa"/>
            <w:vAlign w:val="center"/>
          </w:tcPr>
          <w:p w14:paraId="42D5C261">
            <w:pPr>
              <w:adjustRightInd w:val="0"/>
              <w:snapToGrid w:val="0"/>
              <w:jc w:val="center"/>
            </w:pPr>
            <w:r>
              <w:t>登记管理</w:t>
            </w:r>
          </w:p>
        </w:tc>
        <w:tc>
          <w:tcPr>
            <w:tcW w:w="1018" w:type="dxa"/>
            <w:vAlign w:val="center"/>
          </w:tcPr>
          <w:p w14:paraId="1D8EE4B9">
            <w:pPr>
              <w:adjustRightInd w:val="0"/>
              <w:snapToGrid w:val="0"/>
              <w:jc w:val="center"/>
            </w:pPr>
            <w:r>
              <w:rPr>
                <w:rFonts w:hint="eastAsia"/>
              </w:rPr>
              <w:t>本项目管</w:t>
            </w:r>
          </w:p>
          <w:p w14:paraId="0DE94CC0">
            <w:pPr>
              <w:adjustRightInd w:val="0"/>
              <w:snapToGrid w:val="0"/>
              <w:jc w:val="center"/>
            </w:pPr>
            <w:r>
              <w:rPr>
                <w:rFonts w:hint="eastAsia"/>
              </w:rPr>
              <w:t>理类别</w:t>
            </w:r>
          </w:p>
        </w:tc>
      </w:tr>
      <w:tr w14:paraId="6D7FA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44" w:type="dxa"/>
            <w:gridSpan w:val="6"/>
            <w:vAlign w:val="center"/>
          </w:tcPr>
          <w:p w14:paraId="7E9321AB">
            <w:pPr>
              <w:adjustRightInd w:val="0"/>
              <w:snapToGrid w:val="0"/>
            </w:pPr>
            <w:r>
              <w:rPr>
                <w:rFonts w:hint="eastAsia"/>
              </w:rPr>
              <w:t>十六、家具制造业21</w:t>
            </w:r>
          </w:p>
        </w:tc>
      </w:tr>
      <w:tr w14:paraId="53AC3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0" w:type="dxa"/>
            <w:vAlign w:val="center"/>
          </w:tcPr>
          <w:p w14:paraId="554FF90D">
            <w:pPr>
              <w:adjustRightInd w:val="0"/>
              <w:snapToGrid w:val="0"/>
              <w:jc w:val="center"/>
            </w:pPr>
            <w:r>
              <w:rPr>
                <w:rFonts w:hint="eastAsia"/>
              </w:rPr>
              <w:t>35</w:t>
            </w:r>
          </w:p>
        </w:tc>
        <w:tc>
          <w:tcPr>
            <w:tcW w:w="1418" w:type="dxa"/>
            <w:vAlign w:val="center"/>
          </w:tcPr>
          <w:p w14:paraId="78124EE5">
            <w:pPr>
              <w:adjustRightInd w:val="0"/>
              <w:snapToGrid w:val="0"/>
              <w:jc w:val="center"/>
            </w:pPr>
            <w:r>
              <w:rPr>
                <w:b/>
                <w:bCs/>
              </w:rPr>
              <w:t>木质家具制造211</w:t>
            </w:r>
            <w:r>
              <w:t>，竹、藤家具制造212，金属家具制造213，塑料家具制造214，</w:t>
            </w:r>
            <w:r>
              <w:rPr>
                <w:b/>
                <w:bCs/>
              </w:rPr>
              <w:t>其他家具制造219</w:t>
            </w:r>
          </w:p>
        </w:tc>
        <w:tc>
          <w:tcPr>
            <w:tcW w:w="2034" w:type="dxa"/>
            <w:vAlign w:val="center"/>
          </w:tcPr>
          <w:p w14:paraId="7169ABF6">
            <w:pPr>
              <w:adjustRightInd w:val="0"/>
              <w:snapToGrid w:val="0"/>
              <w:jc w:val="center"/>
            </w:pPr>
            <w:r>
              <w:rPr>
                <w:rFonts w:hint="eastAsia"/>
              </w:rPr>
              <w:t>纳入重点排污单位名录的</w:t>
            </w:r>
          </w:p>
        </w:tc>
        <w:tc>
          <w:tcPr>
            <w:tcW w:w="2369" w:type="dxa"/>
            <w:vAlign w:val="center"/>
          </w:tcPr>
          <w:p w14:paraId="7DF6F779">
            <w:pPr>
              <w:autoSpaceDE w:val="0"/>
              <w:autoSpaceDN w:val="0"/>
              <w:adjustRightInd w:val="0"/>
              <w:snapToGrid w:val="0"/>
              <w:jc w:val="left"/>
            </w:pPr>
            <w:r>
              <w:rPr>
                <w:rFonts w:hint="eastAsia"/>
              </w:rPr>
              <w:t>除重点管理以外的年使用10吨及以上溶剂型涂料或者胶粘剂（含稀释剂、固化剂）的、年使用20吨及以上水性涂料或者胶粘剂的、有磷化表面处理工艺的</w:t>
            </w:r>
          </w:p>
        </w:tc>
        <w:tc>
          <w:tcPr>
            <w:tcW w:w="925" w:type="dxa"/>
            <w:vAlign w:val="center"/>
          </w:tcPr>
          <w:p w14:paraId="0680C795">
            <w:pPr>
              <w:adjustRightInd w:val="0"/>
              <w:snapToGrid w:val="0"/>
              <w:jc w:val="center"/>
              <w:rPr>
                <w:bCs/>
              </w:rPr>
            </w:pPr>
            <w:r>
              <w:rPr>
                <w:rFonts w:hint="eastAsia"/>
                <w:bCs/>
              </w:rPr>
              <w:t>其他*</w:t>
            </w:r>
          </w:p>
        </w:tc>
        <w:tc>
          <w:tcPr>
            <w:tcW w:w="1018" w:type="dxa"/>
            <w:vAlign w:val="center"/>
          </w:tcPr>
          <w:p w14:paraId="157564E4">
            <w:pPr>
              <w:adjustRightInd w:val="0"/>
              <w:snapToGrid w:val="0"/>
              <w:jc w:val="center"/>
              <w:rPr>
                <w:bCs/>
              </w:rPr>
            </w:pPr>
            <w:r>
              <w:rPr>
                <w:rFonts w:hint="eastAsia"/>
              </w:rPr>
              <w:t>登记管理</w:t>
            </w:r>
          </w:p>
        </w:tc>
      </w:tr>
      <w:tr w14:paraId="687E6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44" w:type="dxa"/>
            <w:gridSpan w:val="6"/>
            <w:vAlign w:val="center"/>
          </w:tcPr>
          <w:p w14:paraId="10B0C4E6">
            <w:pPr>
              <w:adjustRightInd w:val="0"/>
              <w:snapToGrid w:val="0"/>
              <w:jc w:val="left"/>
            </w:pPr>
            <w:r>
              <w:rPr>
                <w:rFonts w:hint="eastAsia"/>
              </w:rPr>
              <w:t>表格中标“﹡”号者，是指在工业建筑中生产的排污单位。工业建筑的定义参见《工程结构设计基本术语标准》（GB/T 50083-2014），是指提供生产用的各种建筑物，如车间、厂前区建筑、生活间、动力站、库房和运输设施等</w:t>
            </w:r>
          </w:p>
        </w:tc>
      </w:tr>
    </w:tbl>
    <w:p w14:paraId="53866246">
      <w:pPr>
        <w:pStyle w:val="122"/>
        <w:adjustRightInd w:val="0"/>
        <w:snapToGrid w:val="0"/>
        <w:ind w:firstLine="480"/>
      </w:pPr>
      <w:r>
        <w:rPr>
          <w:rFonts w:hint="eastAsia"/>
        </w:rPr>
        <w:t>杭州禾丰奥蜜尔家私有限公司未被列入纳入重点排污单位名录，本项目为木制家具制造211和其他家具制造 219，因此根据上表判定可得，本项目属于登记管理类。</w:t>
      </w:r>
    </w:p>
    <w:p w14:paraId="657507AC">
      <w:pPr>
        <w:pStyle w:val="122"/>
        <w:adjustRightInd w:val="0"/>
        <w:snapToGrid w:val="0"/>
        <w:ind w:firstLine="480"/>
      </w:pPr>
      <w:r>
        <w:rPr>
          <w:rFonts w:hint="eastAsia"/>
        </w:rPr>
        <w:t>本项目实施后，企业应及时在全国排污许可证管理信息平台变更排污许可证相关信息。</w:t>
      </w:r>
    </w:p>
    <w:p w14:paraId="55B42F12">
      <w:pPr>
        <w:pStyle w:val="3"/>
        <w:spacing w:line="360" w:lineRule="auto"/>
        <w:jc w:val="left"/>
      </w:pPr>
      <w:bookmarkStart w:id="3" w:name="_Toc16755"/>
      <w:r>
        <w:rPr>
          <w:rFonts w:hint="eastAsia"/>
        </w:rPr>
        <w:t>三、位置图（具体见附图1、附图2、附图3、附图4、附图5）</w:t>
      </w:r>
      <w:bookmarkEnd w:id="3"/>
    </w:p>
    <w:p w14:paraId="7C7E9A5B">
      <w:pPr>
        <w:pStyle w:val="122"/>
        <w:ind w:firstLine="482"/>
        <w:jc w:val="left"/>
        <w:outlineLvl w:val="1"/>
        <w:rPr>
          <w:b/>
        </w:rPr>
      </w:pPr>
      <w:bookmarkStart w:id="4" w:name="_Toc2065"/>
      <w:r>
        <w:rPr>
          <w:rFonts w:hint="eastAsia"/>
          <w:b/>
        </w:rPr>
        <w:t>（1）环境保护目标</w:t>
      </w:r>
      <w:bookmarkEnd w:id="4"/>
    </w:p>
    <w:p w14:paraId="1FF48694">
      <w:pPr>
        <w:pStyle w:val="122"/>
        <w:ind w:firstLine="482"/>
        <w:jc w:val="left"/>
        <w:rPr>
          <w:b/>
        </w:rPr>
      </w:pPr>
      <w:r>
        <w:rPr>
          <w:rFonts w:hint="eastAsia"/>
          <w:b/>
        </w:rPr>
        <w:t>1、大气环境</w:t>
      </w:r>
    </w:p>
    <w:p w14:paraId="02DB9670">
      <w:pPr>
        <w:spacing w:line="360" w:lineRule="auto"/>
        <w:ind w:firstLine="480" w:firstLineChars="200"/>
        <w:rPr>
          <w:sz w:val="24"/>
          <w:szCs w:val="24"/>
          <w:lang w:val="zh-CN"/>
        </w:rPr>
      </w:pPr>
      <w:r>
        <w:rPr>
          <w:sz w:val="24"/>
          <w:szCs w:val="24"/>
        </w:rPr>
        <w:t>据调查，</w:t>
      </w:r>
      <w:r>
        <w:rPr>
          <w:rFonts w:hint="eastAsia"/>
          <w:sz w:val="24"/>
          <w:szCs w:val="24"/>
        </w:rPr>
        <w:t>项目厂界外500m范围内</w:t>
      </w:r>
      <w:r>
        <w:rPr>
          <w:sz w:val="24"/>
          <w:szCs w:val="24"/>
        </w:rPr>
        <w:t>大气环境评价范围内保护目标见下表</w:t>
      </w:r>
      <w:r>
        <w:rPr>
          <w:sz w:val="24"/>
          <w:szCs w:val="24"/>
          <w:lang w:val="zh-CN"/>
        </w:rPr>
        <w:t>。</w:t>
      </w:r>
    </w:p>
    <w:p w14:paraId="3D2702C8">
      <w:pPr>
        <w:pStyle w:val="116"/>
        <w:numPr>
          <w:ilvl w:val="0"/>
          <w:numId w:val="21"/>
        </w:numPr>
        <w:spacing w:before="156"/>
      </w:pPr>
      <w:r>
        <w:t xml:space="preserve"> 大气环境保护目标基本情况</w:t>
      </w:r>
    </w:p>
    <w:tbl>
      <w:tblPr>
        <w:tblStyle w:val="88"/>
        <w:tblW w:w="502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87"/>
        <w:gridCol w:w="1475"/>
        <w:gridCol w:w="490"/>
        <w:gridCol w:w="1547"/>
        <w:gridCol w:w="972"/>
        <w:gridCol w:w="1298"/>
        <w:gridCol w:w="493"/>
        <w:gridCol w:w="1592"/>
      </w:tblGrid>
      <w:tr w14:paraId="38CC7C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2" w:type="pct"/>
            <w:vMerge w:val="restart"/>
            <w:vAlign w:val="center"/>
          </w:tcPr>
          <w:p w14:paraId="1CA28010">
            <w:pPr>
              <w:spacing w:line="240" w:lineRule="atLeast"/>
              <w:jc w:val="center"/>
            </w:pPr>
            <w:r>
              <w:t>环境</w:t>
            </w:r>
          </w:p>
          <w:p w14:paraId="2117A248">
            <w:pPr>
              <w:spacing w:line="240" w:lineRule="atLeast"/>
              <w:jc w:val="center"/>
            </w:pPr>
            <w:r>
              <w:t>要素</w:t>
            </w:r>
          </w:p>
        </w:tc>
        <w:tc>
          <w:tcPr>
            <w:tcW w:w="882" w:type="pct"/>
            <w:vMerge w:val="restart"/>
            <w:vAlign w:val="center"/>
          </w:tcPr>
          <w:p w14:paraId="22B96E0A">
            <w:pPr>
              <w:spacing w:line="240" w:lineRule="atLeast"/>
              <w:jc w:val="center"/>
            </w:pPr>
            <w:r>
              <w:t>保护目标名称</w:t>
            </w:r>
          </w:p>
        </w:tc>
        <w:tc>
          <w:tcPr>
            <w:tcW w:w="293" w:type="pct"/>
            <w:vMerge w:val="restart"/>
            <w:vAlign w:val="center"/>
          </w:tcPr>
          <w:p w14:paraId="3EBF2CDB">
            <w:pPr>
              <w:spacing w:line="240" w:lineRule="atLeast"/>
              <w:jc w:val="center"/>
            </w:pPr>
            <w:r>
              <w:t>保护</w:t>
            </w:r>
          </w:p>
          <w:p w14:paraId="4728A261">
            <w:pPr>
              <w:spacing w:line="240" w:lineRule="atLeast"/>
              <w:jc w:val="center"/>
            </w:pPr>
            <w:r>
              <w:t>对象</w:t>
            </w:r>
          </w:p>
        </w:tc>
        <w:tc>
          <w:tcPr>
            <w:tcW w:w="925" w:type="pct"/>
            <w:vMerge w:val="restart"/>
            <w:vAlign w:val="center"/>
          </w:tcPr>
          <w:p w14:paraId="7CEA2E63">
            <w:pPr>
              <w:spacing w:line="240" w:lineRule="atLeast"/>
              <w:jc w:val="center"/>
            </w:pPr>
            <w:r>
              <w:t>规模</w:t>
            </w:r>
          </w:p>
        </w:tc>
        <w:tc>
          <w:tcPr>
            <w:tcW w:w="581" w:type="pct"/>
            <w:vMerge w:val="restart"/>
            <w:vAlign w:val="center"/>
          </w:tcPr>
          <w:p w14:paraId="3F029349">
            <w:pPr>
              <w:spacing w:line="240" w:lineRule="atLeast"/>
              <w:jc w:val="center"/>
            </w:pPr>
            <w:r>
              <w:t>保护</w:t>
            </w:r>
          </w:p>
          <w:p w14:paraId="60D93328">
            <w:pPr>
              <w:spacing w:line="240" w:lineRule="atLeast"/>
              <w:jc w:val="center"/>
            </w:pPr>
            <w:r>
              <w:t>内容</w:t>
            </w:r>
          </w:p>
        </w:tc>
        <w:tc>
          <w:tcPr>
            <w:tcW w:w="776" w:type="pct"/>
            <w:vMerge w:val="restart"/>
            <w:vAlign w:val="center"/>
          </w:tcPr>
          <w:p w14:paraId="078C64FE">
            <w:pPr>
              <w:spacing w:line="240" w:lineRule="atLeast"/>
              <w:jc w:val="center"/>
            </w:pPr>
            <w:r>
              <w:t>环境</w:t>
            </w:r>
          </w:p>
          <w:p w14:paraId="300B277C">
            <w:pPr>
              <w:spacing w:line="240" w:lineRule="atLeast"/>
              <w:jc w:val="center"/>
            </w:pPr>
            <w:r>
              <w:t>功能区</w:t>
            </w:r>
          </w:p>
        </w:tc>
        <w:tc>
          <w:tcPr>
            <w:tcW w:w="295" w:type="pct"/>
            <w:vMerge w:val="restart"/>
            <w:vAlign w:val="center"/>
          </w:tcPr>
          <w:p w14:paraId="36F69744">
            <w:pPr>
              <w:spacing w:line="240" w:lineRule="atLeast"/>
              <w:jc w:val="center"/>
            </w:pPr>
            <w:r>
              <w:t>方位</w:t>
            </w:r>
          </w:p>
        </w:tc>
        <w:tc>
          <w:tcPr>
            <w:tcW w:w="952" w:type="pct"/>
            <w:vMerge w:val="restart"/>
            <w:vAlign w:val="center"/>
          </w:tcPr>
          <w:p w14:paraId="2D15CFAA">
            <w:pPr>
              <w:spacing w:line="240" w:lineRule="atLeast"/>
              <w:jc w:val="center"/>
            </w:pPr>
            <w:r>
              <w:rPr>
                <w:rFonts w:hint="eastAsia"/>
              </w:rPr>
              <w:t>相对</w:t>
            </w:r>
            <w:r>
              <w:t>距离(m)</w:t>
            </w:r>
          </w:p>
        </w:tc>
      </w:tr>
      <w:tr w14:paraId="1477DC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2" w:type="pct"/>
            <w:vMerge w:val="continue"/>
            <w:vAlign w:val="center"/>
          </w:tcPr>
          <w:p w14:paraId="17E19DF1">
            <w:pPr>
              <w:spacing w:line="240" w:lineRule="atLeast"/>
              <w:jc w:val="center"/>
            </w:pPr>
          </w:p>
        </w:tc>
        <w:tc>
          <w:tcPr>
            <w:tcW w:w="882" w:type="pct"/>
            <w:vMerge w:val="continue"/>
            <w:vAlign w:val="center"/>
          </w:tcPr>
          <w:p w14:paraId="4574D41B">
            <w:pPr>
              <w:spacing w:line="240" w:lineRule="atLeast"/>
              <w:jc w:val="center"/>
            </w:pPr>
          </w:p>
        </w:tc>
        <w:tc>
          <w:tcPr>
            <w:tcW w:w="293" w:type="pct"/>
            <w:vMerge w:val="continue"/>
            <w:vAlign w:val="center"/>
          </w:tcPr>
          <w:p w14:paraId="2DF9FA6F">
            <w:pPr>
              <w:spacing w:line="240" w:lineRule="atLeast"/>
              <w:jc w:val="center"/>
            </w:pPr>
          </w:p>
        </w:tc>
        <w:tc>
          <w:tcPr>
            <w:tcW w:w="925" w:type="pct"/>
            <w:vMerge w:val="continue"/>
            <w:vAlign w:val="center"/>
          </w:tcPr>
          <w:p w14:paraId="6A093A01">
            <w:pPr>
              <w:spacing w:line="240" w:lineRule="atLeast"/>
              <w:jc w:val="center"/>
            </w:pPr>
          </w:p>
        </w:tc>
        <w:tc>
          <w:tcPr>
            <w:tcW w:w="581" w:type="pct"/>
            <w:vMerge w:val="continue"/>
            <w:vAlign w:val="center"/>
          </w:tcPr>
          <w:p w14:paraId="7F0335B7">
            <w:pPr>
              <w:spacing w:line="240" w:lineRule="atLeast"/>
              <w:jc w:val="center"/>
            </w:pPr>
          </w:p>
        </w:tc>
        <w:tc>
          <w:tcPr>
            <w:tcW w:w="776" w:type="pct"/>
            <w:vMerge w:val="continue"/>
            <w:vAlign w:val="center"/>
          </w:tcPr>
          <w:p w14:paraId="3930A943">
            <w:pPr>
              <w:spacing w:line="240" w:lineRule="atLeast"/>
              <w:jc w:val="center"/>
            </w:pPr>
          </w:p>
        </w:tc>
        <w:tc>
          <w:tcPr>
            <w:tcW w:w="295" w:type="pct"/>
            <w:vMerge w:val="continue"/>
            <w:vAlign w:val="center"/>
          </w:tcPr>
          <w:p w14:paraId="1ADA4BE1">
            <w:pPr>
              <w:spacing w:line="240" w:lineRule="atLeast"/>
              <w:jc w:val="center"/>
            </w:pPr>
          </w:p>
        </w:tc>
        <w:tc>
          <w:tcPr>
            <w:tcW w:w="952" w:type="pct"/>
            <w:vMerge w:val="continue"/>
            <w:vAlign w:val="center"/>
          </w:tcPr>
          <w:p w14:paraId="439DB6BA">
            <w:pPr>
              <w:spacing w:line="240" w:lineRule="atLeast"/>
              <w:jc w:val="center"/>
            </w:pPr>
          </w:p>
        </w:tc>
      </w:tr>
      <w:tr w14:paraId="00F149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2" w:type="pct"/>
            <w:vMerge w:val="restart"/>
            <w:vAlign w:val="center"/>
          </w:tcPr>
          <w:p w14:paraId="5541E0CC">
            <w:pPr>
              <w:spacing w:line="240" w:lineRule="atLeast"/>
              <w:jc w:val="center"/>
            </w:pPr>
            <w:r>
              <w:t>环境</w:t>
            </w:r>
          </w:p>
          <w:p w14:paraId="5B59D889">
            <w:pPr>
              <w:spacing w:line="240" w:lineRule="atLeast"/>
              <w:jc w:val="center"/>
            </w:pPr>
            <w:r>
              <w:t>空气</w:t>
            </w:r>
          </w:p>
        </w:tc>
        <w:tc>
          <w:tcPr>
            <w:tcW w:w="882" w:type="pct"/>
            <w:vAlign w:val="center"/>
          </w:tcPr>
          <w:p w14:paraId="20D4E53A">
            <w:pPr>
              <w:spacing w:line="240" w:lineRule="atLeast"/>
              <w:jc w:val="center"/>
            </w:pPr>
            <w:r>
              <w:rPr>
                <w:rFonts w:hint="eastAsia"/>
              </w:rPr>
              <w:t>双林小区</w:t>
            </w:r>
          </w:p>
        </w:tc>
        <w:tc>
          <w:tcPr>
            <w:tcW w:w="293" w:type="pct"/>
            <w:vAlign w:val="center"/>
          </w:tcPr>
          <w:p w14:paraId="226A934D">
            <w:pPr>
              <w:spacing w:line="240" w:lineRule="atLeast"/>
              <w:jc w:val="center"/>
            </w:pPr>
            <w:r>
              <w:t>居民</w:t>
            </w:r>
          </w:p>
        </w:tc>
        <w:tc>
          <w:tcPr>
            <w:tcW w:w="925" w:type="pct"/>
            <w:vAlign w:val="center"/>
          </w:tcPr>
          <w:p w14:paraId="6DA1B169">
            <w:pPr>
              <w:jc w:val="center"/>
            </w:pPr>
            <w:r>
              <w:rPr>
                <w:rFonts w:hint="eastAsia"/>
              </w:rPr>
              <w:t>约1000</w:t>
            </w:r>
            <w:r>
              <w:t>人</w:t>
            </w:r>
          </w:p>
        </w:tc>
        <w:tc>
          <w:tcPr>
            <w:tcW w:w="581" w:type="pct"/>
            <w:vMerge w:val="restart"/>
            <w:vAlign w:val="center"/>
          </w:tcPr>
          <w:p w14:paraId="6F1FEB13">
            <w:pPr>
              <w:spacing w:line="240" w:lineRule="atLeast"/>
              <w:jc w:val="center"/>
            </w:pPr>
            <w:r>
              <w:t>环境空气</w:t>
            </w:r>
          </w:p>
          <w:p w14:paraId="368A2154">
            <w:pPr>
              <w:spacing w:line="240" w:lineRule="atLeast"/>
              <w:jc w:val="center"/>
            </w:pPr>
            <w:r>
              <w:t>人群健康</w:t>
            </w:r>
          </w:p>
        </w:tc>
        <w:tc>
          <w:tcPr>
            <w:tcW w:w="776" w:type="pct"/>
            <w:vMerge w:val="restart"/>
            <w:vAlign w:val="center"/>
          </w:tcPr>
          <w:p w14:paraId="6C2D5CDE">
            <w:pPr>
              <w:spacing w:line="240" w:lineRule="atLeast"/>
              <w:jc w:val="center"/>
            </w:pPr>
            <w:r>
              <w:t>环境空气二</w:t>
            </w:r>
            <w:r>
              <w:rPr>
                <w:rFonts w:hint="eastAsia"/>
              </w:rPr>
              <w:t>类</w:t>
            </w:r>
            <w:r>
              <w:t>区</w:t>
            </w:r>
          </w:p>
        </w:tc>
        <w:tc>
          <w:tcPr>
            <w:tcW w:w="295" w:type="pct"/>
            <w:vAlign w:val="center"/>
          </w:tcPr>
          <w:p w14:paraId="2350AA2F">
            <w:pPr>
              <w:jc w:val="center"/>
            </w:pPr>
            <w:r>
              <w:rPr>
                <w:rFonts w:hint="eastAsia"/>
              </w:rPr>
              <w:t>南</w:t>
            </w:r>
          </w:p>
        </w:tc>
        <w:tc>
          <w:tcPr>
            <w:tcW w:w="952" w:type="pct"/>
            <w:vAlign w:val="center"/>
          </w:tcPr>
          <w:p w14:paraId="689D9886">
            <w:pPr>
              <w:jc w:val="center"/>
            </w:pPr>
            <w:r>
              <w:rPr>
                <w:rFonts w:hint="eastAsia"/>
              </w:rPr>
              <w:t>350</w:t>
            </w:r>
          </w:p>
        </w:tc>
      </w:tr>
      <w:tr w14:paraId="7490F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92" w:type="pct"/>
            <w:vMerge w:val="continue"/>
            <w:vAlign w:val="center"/>
          </w:tcPr>
          <w:p w14:paraId="439DF198">
            <w:pPr>
              <w:spacing w:line="240" w:lineRule="atLeast"/>
              <w:jc w:val="center"/>
            </w:pPr>
          </w:p>
        </w:tc>
        <w:tc>
          <w:tcPr>
            <w:tcW w:w="882" w:type="pct"/>
            <w:vAlign w:val="center"/>
          </w:tcPr>
          <w:p w14:paraId="1D4A273E">
            <w:pPr>
              <w:spacing w:line="240" w:lineRule="atLeast"/>
              <w:jc w:val="center"/>
            </w:pPr>
            <w:r>
              <w:rPr>
                <w:rFonts w:hint="eastAsia"/>
              </w:rPr>
              <w:t>临平第五小学</w:t>
            </w:r>
          </w:p>
        </w:tc>
        <w:tc>
          <w:tcPr>
            <w:tcW w:w="293" w:type="pct"/>
            <w:vAlign w:val="center"/>
          </w:tcPr>
          <w:p w14:paraId="40D03E5B">
            <w:pPr>
              <w:jc w:val="center"/>
            </w:pPr>
            <w:r>
              <w:rPr>
                <w:rFonts w:hint="eastAsia"/>
              </w:rPr>
              <w:t>学校</w:t>
            </w:r>
          </w:p>
        </w:tc>
        <w:tc>
          <w:tcPr>
            <w:tcW w:w="925" w:type="pct"/>
            <w:vAlign w:val="center"/>
          </w:tcPr>
          <w:p w14:paraId="0FF4F1D1">
            <w:pPr>
              <w:jc w:val="center"/>
            </w:pPr>
            <w:r>
              <w:rPr>
                <w:rFonts w:hint="eastAsia"/>
              </w:rPr>
              <w:t>师生约18</w:t>
            </w:r>
            <w:r>
              <w:t>0</w:t>
            </w:r>
            <w:r>
              <w:rPr>
                <w:rFonts w:hint="eastAsia"/>
              </w:rPr>
              <w:t>0</w:t>
            </w:r>
            <w:r>
              <w:t>人</w:t>
            </w:r>
          </w:p>
        </w:tc>
        <w:tc>
          <w:tcPr>
            <w:tcW w:w="581" w:type="pct"/>
            <w:vMerge w:val="continue"/>
            <w:vAlign w:val="center"/>
          </w:tcPr>
          <w:p w14:paraId="42EDA0B7">
            <w:pPr>
              <w:spacing w:line="240" w:lineRule="atLeast"/>
              <w:jc w:val="center"/>
            </w:pPr>
          </w:p>
        </w:tc>
        <w:tc>
          <w:tcPr>
            <w:tcW w:w="776" w:type="pct"/>
            <w:vMerge w:val="continue"/>
            <w:vAlign w:val="center"/>
          </w:tcPr>
          <w:p w14:paraId="313B5264">
            <w:pPr>
              <w:spacing w:line="240" w:lineRule="atLeast"/>
              <w:jc w:val="center"/>
            </w:pPr>
          </w:p>
        </w:tc>
        <w:tc>
          <w:tcPr>
            <w:tcW w:w="295" w:type="pct"/>
            <w:vAlign w:val="center"/>
          </w:tcPr>
          <w:p w14:paraId="4BD48BDC">
            <w:pPr>
              <w:adjustRightInd w:val="0"/>
              <w:snapToGrid w:val="0"/>
              <w:jc w:val="center"/>
            </w:pPr>
            <w:r>
              <w:rPr>
                <w:rFonts w:hint="eastAsia"/>
              </w:rPr>
              <w:t>西南</w:t>
            </w:r>
          </w:p>
        </w:tc>
        <w:tc>
          <w:tcPr>
            <w:tcW w:w="952" w:type="pct"/>
            <w:vAlign w:val="center"/>
          </w:tcPr>
          <w:p w14:paraId="34066657">
            <w:pPr>
              <w:adjustRightInd w:val="0"/>
              <w:snapToGrid w:val="0"/>
              <w:jc w:val="center"/>
            </w:pPr>
            <w:r>
              <w:rPr>
                <w:rFonts w:hint="eastAsia"/>
              </w:rPr>
              <w:t>355</w:t>
            </w:r>
          </w:p>
        </w:tc>
      </w:tr>
      <w:tr w14:paraId="6DE062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2" w:type="pct"/>
            <w:vMerge w:val="continue"/>
            <w:vAlign w:val="center"/>
          </w:tcPr>
          <w:p w14:paraId="781E0D7D">
            <w:pPr>
              <w:spacing w:line="240" w:lineRule="atLeast"/>
              <w:jc w:val="center"/>
            </w:pPr>
          </w:p>
        </w:tc>
        <w:tc>
          <w:tcPr>
            <w:tcW w:w="882" w:type="pct"/>
            <w:vAlign w:val="center"/>
          </w:tcPr>
          <w:p w14:paraId="33F861E2">
            <w:pPr>
              <w:spacing w:line="240" w:lineRule="atLeast"/>
              <w:jc w:val="center"/>
            </w:pPr>
            <w:r>
              <w:rPr>
                <w:rFonts w:hint="eastAsia"/>
              </w:rPr>
              <w:t>杭州临平骨科医院</w:t>
            </w:r>
          </w:p>
        </w:tc>
        <w:tc>
          <w:tcPr>
            <w:tcW w:w="293" w:type="pct"/>
            <w:vAlign w:val="center"/>
          </w:tcPr>
          <w:p w14:paraId="5ACFDD1D">
            <w:pPr>
              <w:jc w:val="center"/>
            </w:pPr>
            <w:r>
              <w:rPr>
                <w:rFonts w:hint="eastAsia"/>
              </w:rPr>
              <w:t>医院</w:t>
            </w:r>
          </w:p>
        </w:tc>
        <w:tc>
          <w:tcPr>
            <w:tcW w:w="925" w:type="pct"/>
            <w:vAlign w:val="center"/>
          </w:tcPr>
          <w:p w14:paraId="73627C58">
            <w:pPr>
              <w:jc w:val="center"/>
            </w:pPr>
            <w:r>
              <w:rPr>
                <w:rFonts w:hint="eastAsia"/>
              </w:rPr>
              <w:t>医患约500人</w:t>
            </w:r>
          </w:p>
        </w:tc>
        <w:tc>
          <w:tcPr>
            <w:tcW w:w="581" w:type="pct"/>
            <w:vMerge w:val="continue"/>
            <w:vAlign w:val="center"/>
          </w:tcPr>
          <w:p w14:paraId="244941DE">
            <w:pPr>
              <w:spacing w:line="240" w:lineRule="atLeast"/>
              <w:jc w:val="center"/>
            </w:pPr>
          </w:p>
        </w:tc>
        <w:tc>
          <w:tcPr>
            <w:tcW w:w="776" w:type="pct"/>
            <w:vMerge w:val="continue"/>
            <w:vAlign w:val="center"/>
          </w:tcPr>
          <w:p w14:paraId="2970ABE7">
            <w:pPr>
              <w:spacing w:line="240" w:lineRule="atLeast"/>
              <w:jc w:val="center"/>
            </w:pPr>
          </w:p>
        </w:tc>
        <w:tc>
          <w:tcPr>
            <w:tcW w:w="295" w:type="pct"/>
            <w:vAlign w:val="center"/>
          </w:tcPr>
          <w:p w14:paraId="627F96FB">
            <w:pPr>
              <w:adjustRightInd w:val="0"/>
              <w:snapToGrid w:val="0"/>
              <w:jc w:val="center"/>
            </w:pPr>
            <w:r>
              <w:rPr>
                <w:rFonts w:hint="eastAsia"/>
              </w:rPr>
              <w:t>西</w:t>
            </w:r>
          </w:p>
        </w:tc>
        <w:tc>
          <w:tcPr>
            <w:tcW w:w="952" w:type="pct"/>
            <w:vAlign w:val="center"/>
          </w:tcPr>
          <w:p w14:paraId="53D001C2">
            <w:pPr>
              <w:adjustRightInd w:val="0"/>
              <w:snapToGrid w:val="0"/>
              <w:jc w:val="center"/>
            </w:pPr>
            <w:r>
              <w:rPr>
                <w:rFonts w:hint="eastAsia"/>
              </w:rPr>
              <w:t>294</w:t>
            </w:r>
          </w:p>
        </w:tc>
      </w:tr>
    </w:tbl>
    <w:p w14:paraId="543DADFF">
      <w:pPr>
        <w:pStyle w:val="122"/>
        <w:ind w:firstLine="482"/>
        <w:jc w:val="left"/>
        <w:rPr>
          <w:b/>
        </w:rPr>
      </w:pPr>
      <w:r>
        <w:rPr>
          <w:b/>
        </w:rPr>
        <w:t>2</w:t>
      </w:r>
      <w:r>
        <w:rPr>
          <w:rFonts w:hint="eastAsia"/>
          <w:b/>
        </w:rPr>
        <w:t>、声环境</w:t>
      </w:r>
    </w:p>
    <w:p w14:paraId="5D48F743">
      <w:pPr>
        <w:spacing w:line="360" w:lineRule="auto"/>
        <w:ind w:firstLine="480" w:firstLineChars="200"/>
        <w:rPr>
          <w:sz w:val="24"/>
          <w:szCs w:val="24"/>
        </w:rPr>
      </w:pPr>
      <w:r>
        <w:rPr>
          <w:rFonts w:hint="eastAsia"/>
          <w:sz w:val="24"/>
          <w:szCs w:val="24"/>
        </w:rPr>
        <w:t>项目厂界外50m内无声环境保护目标。</w:t>
      </w:r>
    </w:p>
    <w:p w14:paraId="5342A732">
      <w:pPr>
        <w:pStyle w:val="122"/>
        <w:ind w:firstLine="482"/>
        <w:jc w:val="left"/>
        <w:rPr>
          <w:b/>
        </w:rPr>
      </w:pPr>
      <w:r>
        <w:rPr>
          <w:b/>
        </w:rPr>
        <w:t>3</w:t>
      </w:r>
      <w:r>
        <w:rPr>
          <w:rFonts w:hint="eastAsia"/>
          <w:b/>
        </w:rPr>
        <w:t>、地下水环境</w:t>
      </w:r>
    </w:p>
    <w:p w14:paraId="3F150B8C">
      <w:pPr>
        <w:spacing w:line="360" w:lineRule="auto"/>
        <w:ind w:firstLine="480" w:firstLineChars="200"/>
        <w:rPr>
          <w:sz w:val="24"/>
          <w:szCs w:val="24"/>
        </w:rPr>
      </w:pPr>
      <w:r>
        <w:rPr>
          <w:rFonts w:hint="eastAsia"/>
          <w:sz w:val="24"/>
          <w:szCs w:val="24"/>
        </w:rPr>
        <w:t>项目厂界外500 m无地下水集中式饮用水水源和热水、矿泉水、温泉等特殊地下水资源。</w:t>
      </w:r>
    </w:p>
    <w:p w14:paraId="2568C04B">
      <w:pPr>
        <w:pStyle w:val="122"/>
        <w:ind w:firstLine="482"/>
        <w:jc w:val="left"/>
        <w:rPr>
          <w:b/>
        </w:rPr>
      </w:pPr>
      <w:r>
        <w:rPr>
          <w:b/>
        </w:rPr>
        <w:t>4</w:t>
      </w:r>
      <w:r>
        <w:rPr>
          <w:rFonts w:hint="eastAsia"/>
          <w:b/>
        </w:rPr>
        <w:t>、生态环境</w:t>
      </w:r>
    </w:p>
    <w:p w14:paraId="3EA5CD32">
      <w:pPr>
        <w:spacing w:line="360" w:lineRule="auto"/>
        <w:ind w:firstLine="480" w:firstLineChars="200"/>
        <w:rPr>
          <w:sz w:val="24"/>
          <w:szCs w:val="24"/>
        </w:rPr>
      </w:pPr>
      <w:r>
        <w:rPr>
          <w:rFonts w:hint="eastAsia"/>
          <w:sz w:val="24"/>
          <w:szCs w:val="24"/>
        </w:rPr>
        <w:t>项目所在地不涉及生态环境保护目标。</w:t>
      </w:r>
    </w:p>
    <w:p w14:paraId="79BDC9BB">
      <w:pPr>
        <w:pStyle w:val="122"/>
        <w:ind w:firstLine="482"/>
        <w:jc w:val="left"/>
        <w:rPr>
          <w:b/>
        </w:rPr>
      </w:pPr>
      <w:r>
        <w:rPr>
          <w:rFonts w:hint="eastAsia"/>
          <w:b/>
        </w:rPr>
        <w:t>（二）污染物排放标准</w:t>
      </w:r>
    </w:p>
    <w:p w14:paraId="00F11195">
      <w:pPr>
        <w:spacing w:line="360" w:lineRule="auto"/>
        <w:ind w:firstLine="480" w:firstLineChars="200"/>
        <w:rPr>
          <w:sz w:val="24"/>
          <w:szCs w:val="24"/>
        </w:rPr>
      </w:pPr>
      <w:bookmarkStart w:id="5" w:name="_Toc26745"/>
      <w:r>
        <w:rPr>
          <w:rFonts w:hint="eastAsia"/>
          <w:sz w:val="24"/>
          <w:szCs w:val="24"/>
        </w:rPr>
        <w:t>1.1 有组织废气</w:t>
      </w:r>
    </w:p>
    <w:p w14:paraId="3B3C4457">
      <w:pPr>
        <w:spacing w:line="360" w:lineRule="auto"/>
        <w:ind w:firstLine="480" w:firstLineChars="200"/>
        <w:rPr>
          <w:sz w:val="24"/>
          <w:szCs w:val="24"/>
        </w:rPr>
      </w:pPr>
      <w:r>
        <w:rPr>
          <w:rFonts w:hint="eastAsia"/>
          <w:sz w:val="24"/>
          <w:szCs w:val="24"/>
        </w:rPr>
        <w:t>本项目涉及的油漆废气排放执行《工业涂装工序大气污染物排放标准》(DB33/2146-2018)执行表1规定的大气污染物排放限值要求，具体详见下表。</w:t>
      </w:r>
    </w:p>
    <w:p w14:paraId="121694D4">
      <w:pPr>
        <w:pStyle w:val="116"/>
        <w:numPr>
          <w:ilvl w:val="0"/>
          <w:numId w:val="21"/>
        </w:numPr>
        <w:spacing w:before="156"/>
        <w:rPr>
          <w:lang w:val="en-US"/>
        </w:rPr>
      </w:pPr>
      <w:r>
        <w:t>工业涂装工序大气污染物排放标准</w:t>
      </w:r>
      <w:r>
        <w:rPr>
          <w:lang w:val="en-US"/>
        </w:rPr>
        <w:t xml:space="preserve"> </w:t>
      </w:r>
      <w:r>
        <w:t>单位：mg/m</w:t>
      </w:r>
      <w:r>
        <w:rPr>
          <w:vertAlign w:val="superscript"/>
        </w:rPr>
        <w:t>3</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306"/>
        <w:gridCol w:w="1871"/>
        <w:gridCol w:w="1801"/>
        <w:gridCol w:w="1961"/>
      </w:tblGrid>
      <w:tr w14:paraId="4299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2" w:type="pct"/>
            <w:vAlign w:val="center"/>
          </w:tcPr>
          <w:p w14:paraId="07583215">
            <w:pPr>
              <w:spacing w:line="240" w:lineRule="atLeast"/>
              <w:jc w:val="center"/>
            </w:pPr>
            <w:r>
              <w:t>序号</w:t>
            </w:r>
          </w:p>
        </w:tc>
        <w:tc>
          <w:tcPr>
            <w:tcW w:w="1352" w:type="pct"/>
            <w:vAlign w:val="center"/>
          </w:tcPr>
          <w:p w14:paraId="5D85F16C">
            <w:pPr>
              <w:spacing w:line="240" w:lineRule="atLeast"/>
              <w:jc w:val="center"/>
            </w:pPr>
            <w:r>
              <w:t>污染物项目</w:t>
            </w:r>
          </w:p>
        </w:tc>
        <w:tc>
          <w:tcPr>
            <w:tcW w:w="1097" w:type="pct"/>
            <w:vAlign w:val="center"/>
          </w:tcPr>
          <w:p w14:paraId="768B9300">
            <w:pPr>
              <w:spacing w:line="240" w:lineRule="atLeast"/>
              <w:jc w:val="center"/>
            </w:pPr>
            <w:r>
              <w:t>排放限值</w:t>
            </w:r>
          </w:p>
        </w:tc>
        <w:tc>
          <w:tcPr>
            <w:tcW w:w="1056" w:type="pct"/>
            <w:vAlign w:val="center"/>
          </w:tcPr>
          <w:p w14:paraId="63934DE0">
            <w:pPr>
              <w:spacing w:line="240" w:lineRule="atLeast"/>
              <w:jc w:val="center"/>
            </w:pPr>
            <w:r>
              <w:t>适用条件</w:t>
            </w:r>
          </w:p>
        </w:tc>
        <w:tc>
          <w:tcPr>
            <w:tcW w:w="1150" w:type="pct"/>
            <w:vAlign w:val="center"/>
          </w:tcPr>
          <w:p w14:paraId="251F735A">
            <w:pPr>
              <w:spacing w:line="240" w:lineRule="atLeast"/>
              <w:jc w:val="center"/>
            </w:pPr>
            <w:r>
              <w:t>污染物排放监控位置</w:t>
            </w:r>
          </w:p>
        </w:tc>
      </w:tr>
      <w:tr w14:paraId="3A4E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2" w:type="pct"/>
            <w:vAlign w:val="center"/>
          </w:tcPr>
          <w:p w14:paraId="040F64FA">
            <w:pPr>
              <w:spacing w:line="240" w:lineRule="atLeast"/>
              <w:jc w:val="center"/>
            </w:pPr>
            <w:r>
              <w:t>1</w:t>
            </w:r>
          </w:p>
        </w:tc>
        <w:tc>
          <w:tcPr>
            <w:tcW w:w="1352" w:type="pct"/>
            <w:shd w:val="clear" w:color="auto" w:fill="auto"/>
            <w:vAlign w:val="center"/>
          </w:tcPr>
          <w:p w14:paraId="5DA171A2">
            <w:pPr>
              <w:spacing w:line="240" w:lineRule="atLeast"/>
              <w:jc w:val="center"/>
            </w:pPr>
            <w:r>
              <w:t>非甲烷总烃(其他)</w:t>
            </w:r>
          </w:p>
        </w:tc>
        <w:tc>
          <w:tcPr>
            <w:tcW w:w="1097" w:type="pct"/>
            <w:shd w:val="clear" w:color="auto" w:fill="auto"/>
            <w:vAlign w:val="center"/>
          </w:tcPr>
          <w:p w14:paraId="15913124">
            <w:pPr>
              <w:spacing w:line="240" w:lineRule="atLeast"/>
              <w:jc w:val="center"/>
            </w:pPr>
            <w:r>
              <w:t>80</w:t>
            </w:r>
          </w:p>
        </w:tc>
        <w:tc>
          <w:tcPr>
            <w:tcW w:w="1056" w:type="pct"/>
            <w:vMerge w:val="restart"/>
            <w:vAlign w:val="center"/>
          </w:tcPr>
          <w:p w14:paraId="7E16EB05">
            <w:pPr>
              <w:spacing w:line="240" w:lineRule="atLeast"/>
              <w:jc w:val="center"/>
            </w:pPr>
            <w:r>
              <w:t>所有</w:t>
            </w:r>
          </w:p>
        </w:tc>
        <w:tc>
          <w:tcPr>
            <w:tcW w:w="1150" w:type="pct"/>
            <w:vMerge w:val="restart"/>
            <w:vAlign w:val="center"/>
          </w:tcPr>
          <w:p w14:paraId="504320D1">
            <w:pPr>
              <w:spacing w:line="240" w:lineRule="atLeast"/>
              <w:jc w:val="center"/>
            </w:pPr>
            <w:r>
              <w:t>车间或生产设施排气筒</w:t>
            </w:r>
          </w:p>
        </w:tc>
      </w:tr>
      <w:tr w14:paraId="7D5D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342" w:type="pct"/>
            <w:vAlign w:val="center"/>
          </w:tcPr>
          <w:p w14:paraId="7CC6660B">
            <w:pPr>
              <w:spacing w:line="240" w:lineRule="atLeast"/>
              <w:jc w:val="center"/>
            </w:pPr>
            <w:r>
              <w:t>2</w:t>
            </w:r>
          </w:p>
        </w:tc>
        <w:tc>
          <w:tcPr>
            <w:tcW w:w="1352" w:type="pct"/>
            <w:shd w:val="clear" w:color="auto" w:fill="auto"/>
            <w:vAlign w:val="center"/>
          </w:tcPr>
          <w:p w14:paraId="6245AD74">
            <w:pPr>
              <w:spacing w:line="240" w:lineRule="atLeast"/>
              <w:jc w:val="center"/>
            </w:pPr>
            <w:r>
              <w:t>总挥发性有机物(其他)</w:t>
            </w:r>
          </w:p>
        </w:tc>
        <w:tc>
          <w:tcPr>
            <w:tcW w:w="1097" w:type="pct"/>
            <w:shd w:val="clear" w:color="auto" w:fill="auto"/>
            <w:vAlign w:val="center"/>
          </w:tcPr>
          <w:p w14:paraId="261C25EA">
            <w:pPr>
              <w:spacing w:line="240" w:lineRule="atLeast"/>
              <w:jc w:val="center"/>
            </w:pPr>
            <w:r>
              <w:t>150</w:t>
            </w:r>
          </w:p>
        </w:tc>
        <w:tc>
          <w:tcPr>
            <w:tcW w:w="1056" w:type="pct"/>
            <w:vMerge w:val="continue"/>
            <w:vAlign w:val="center"/>
          </w:tcPr>
          <w:p w14:paraId="20E755A1">
            <w:pPr>
              <w:spacing w:line="240" w:lineRule="atLeast"/>
              <w:jc w:val="center"/>
            </w:pPr>
          </w:p>
        </w:tc>
        <w:tc>
          <w:tcPr>
            <w:tcW w:w="1150" w:type="pct"/>
            <w:vMerge w:val="continue"/>
            <w:vAlign w:val="center"/>
          </w:tcPr>
          <w:p w14:paraId="65CCD03C">
            <w:pPr>
              <w:spacing w:line="240" w:lineRule="atLeast"/>
              <w:jc w:val="center"/>
            </w:pPr>
          </w:p>
        </w:tc>
      </w:tr>
      <w:tr w14:paraId="2C84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342" w:type="pct"/>
            <w:vAlign w:val="center"/>
          </w:tcPr>
          <w:p w14:paraId="35B36C34">
            <w:pPr>
              <w:spacing w:line="240" w:lineRule="atLeast"/>
              <w:jc w:val="center"/>
              <w:rPr>
                <w:rFonts w:hint="default" w:eastAsia="宋体"/>
                <w:lang w:val="en-US" w:eastAsia="zh-CN"/>
              </w:rPr>
            </w:pPr>
            <w:r>
              <w:rPr>
                <w:rFonts w:hint="eastAsia"/>
                <w:lang w:val="en-US" w:eastAsia="zh-CN"/>
              </w:rPr>
              <w:t>3</w:t>
            </w:r>
          </w:p>
        </w:tc>
        <w:tc>
          <w:tcPr>
            <w:tcW w:w="1352" w:type="pct"/>
            <w:shd w:val="clear" w:color="auto" w:fill="auto"/>
            <w:vAlign w:val="center"/>
          </w:tcPr>
          <w:p w14:paraId="48B6BDF3">
            <w:pPr>
              <w:spacing w:line="240" w:lineRule="atLeast"/>
              <w:jc w:val="center"/>
              <w:rPr>
                <w:rFonts w:hint="eastAsia" w:eastAsia="宋体"/>
                <w:lang w:val="en-US" w:eastAsia="zh-CN"/>
              </w:rPr>
            </w:pPr>
            <w:r>
              <w:rPr>
                <w:rFonts w:hint="eastAsia"/>
                <w:lang w:val="en-US" w:eastAsia="zh-CN"/>
              </w:rPr>
              <w:t>臭气浓度</w:t>
            </w:r>
          </w:p>
        </w:tc>
        <w:tc>
          <w:tcPr>
            <w:tcW w:w="1097" w:type="pct"/>
            <w:shd w:val="clear" w:color="auto" w:fill="auto"/>
            <w:vAlign w:val="center"/>
          </w:tcPr>
          <w:p w14:paraId="0F799710">
            <w:pPr>
              <w:spacing w:line="240" w:lineRule="atLeast"/>
              <w:jc w:val="center"/>
              <w:rPr>
                <w:rFonts w:hint="default" w:eastAsia="宋体"/>
                <w:lang w:val="en-US" w:eastAsia="zh-CN"/>
              </w:rPr>
            </w:pPr>
            <w:r>
              <w:rPr>
                <w:rFonts w:hint="eastAsia"/>
                <w:lang w:val="en-US" w:eastAsia="zh-CN"/>
              </w:rPr>
              <w:t>1000（无量纲）</w:t>
            </w:r>
          </w:p>
        </w:tc>
        <w:tc>
          <w:tcPr>
            <w:tcW w:w="1056" w:type="pct"/>
            <w:vMerge w:val="continue"/>
            <w:vAlign w:val="center"/>
          </w:tcPr>
          <w:p w14:paraId="589A6F2C">
            <w:pPr>
              <w:spacing w:line="240" w:lineRule="atLeast"/>
              <w:jc w:val="center"/>
            </w:pPr>
          </w:p>
        </w:tc>
        <w:tc>
          <w:tcPr>
            <w:tcW w:w="1150" w:type="pct"/>
            <w:vMerge w:val="continue"/>
            <w:vAlign w:val="center"/>
          </w:tcPr>
          <w:p w14:paraId="082B5337">
            <w:pPr>
              <w:spacing w:line="240" w:lineRule="atLeast"/>
              <w:jc w:val="center"/>
            </w:pPr>
          </w:p>
        </w:tc>
      </w:tr>
    </w:tbl>
    <w:p w14:paraId="08908E03">
      <w:pPr>
        <w:spacing w:line="360" w:lineRule="auto"/>
        <w:ind w:firstLine="480" w:firstLineChars="200"/>
        <w:rPr>
          <w:sz w:val="24"/>
          <w:szCs w:val="24"/>
        </w:rPr>
      </w:pPr>
      <w:r>
        <w:rPr>
          <w:rFonts w:hint="eastAsia"/>
          <w:sz w:val="24"/>
          <w:szCs w:val="24"/>
        </w:rPr>
        <w:t>1.2 无组织废气</w:t>
      </w:r>
    </w:p>
    <w:p w14:paraId="2CA4C64F">
      <w:pPr>
        <w:spacing w:line="360" w:lineRule="auto"/>
        <w:ind w:firstLine="480" w:firstLineChars="200"/>
        <w:rPr>
          <w:sz w:val="24"/>
          <w:szCs w:val="24"/>
        </w:rPr>
      </w:pPr>
      <w:r>
        <w:rPr>
          <w:rFonts w:hint="eastAsia"/>
          <w:sz w:val="24"/>
          <w:szCs w:val="24"/>
        </w:rPr>
        <w:t>非甲烷总烃</w:t>
      </w:r>
      <w:r>
        <w:rPr>
          <w:rFonts w:hint="eastAsia"/>
          <w:sz w:val="24"/>
          <w:szCs w:val="24"/>
          <w:lang w:eastAsia="zh-CN"/>
        </w:rPr>
        <w:t>、</w:t>
      </w:r>
      <w:r>
        <w:rPr>
          <w:rFonts w:hint="eastAsia"/>
          <w:sz w:val="24"/>
          <w:szCs w:val="24"/>
          <w:lang w:val="en-US" w:eastAsia="zh-CN"/>
        </w:rPr>
        <w:t>臭气浓度、甲醛</w:t>
      </w:r>
      <w:r>
        <w:rPr>
          <w:rFonts w:hint="eastAsia"/>
          <w:sz w:val="24"/>
          <w:szCs w:val="24"/>
        </w:rPr>
        <w:t>的厂界排放浓度执行《工业涂装工序大气污染物排放标准》(DB33/2146-2018)，颗粒物执行《大气污染物综合排放标准》（GB 16297-1996），厂区内挥发性有机物排放监控浓度执行《工业涂装工序大气污染物排放标准》(DB33/2146-2018)中排放限值要求，具体见下表。</w:t>
      </w:r>
    </w:p>
    <w:p w14:paraId="48588789">
      <w:pPr>
        <w:pStyle w:val="116"/>
        <w:numPr>
          <w:ilvl w:val="0"/>
          <w:numId w:val="21"/>
        </w:numPr>
        <w:spacing w:before="156"/>
      </w:pPr>
      <w:r>
        <w:rPr>
          <w:rFonts w:hint="eastAsia"/>
        </w:rPr>
        <w:t xml:space="preserve">厂界无组织排放限值 </w:t>
      </w:r>
      <w:r>
        <w:t xml:space="preserve">        </w:t>
      </w:r>
    </w:p>
    <w:tbl>
      <w:tblPr>
        <w:tblStyle w:val="88"/>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765"/>
        <w:gridCol w:w="2557"/>
        <w:gridCol w:w="1686"/>
      </w:tblGrid>
      <w:tr w14:paraId="64FD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07546D83">
            <w:pPr>
              <w:snapToGrid w:val="0"/>
              <w:jc w:val="center"/>
            </w:pPr>
            <w:r>
              <w:t>序号</w:t>
            </w:r>
          </w:p>
        </w:tc>
        <w:tc>
          <w:tcPr>
            <w:tcW w:w="1645" w:type="pct"/>
            <w:vAlign w:val="center"/>
          </w:tcPr>
          <w:p w14:paraId="4CF9ECCB">
            <w:pPr>
              <w:snapToGrid w:val="0"/>
              <w:jc w:val="center"/>
            </w:pPr>
            <w:r>
              <w:t>污染物项目</w:t>
            </w:r>
          </w:p>
        </w:tc>
        <w:tc>
          <w:tcPr>
            <w:tcW w:w="1521" w:type="pct"/>
            <w:vAlign w:val="center"/>
          </w:tcPr>
          <w:p w14:paraId="2AFDF60C">
            <w:pPr>
              <w:snapToGrid w:val="0"/>
              <w:jc w:val="center"/>
            </w:pPr>
            <w:r>
              <w:t>限值(mg/m</w:t>
            </w:r>
            <w:r>
              <w:rPr>
                <w:vertAlign w:val="superscript"/>
              </w:rPr>
              <w:t>3</w:t>
            </w:r>
            <w:r>
              <w:t>)</w:t>
            </w:r>
          </w:p>
        </w:tc>
        <w:tc>
          <w:tcPr>
            <w:tcW w:w="1003" w:type="pct"/>
            <w:vAlign w:val="center"/>
          </w:tcPr>
          <w:p w14:paraId="6BD4FD14">
            <w:pPr>
              <w:snapToGrid w:val="0"/>
              <w:jc w:val="center"/>
            </w:pPr>
            <w:r>
              <w:t>标准来源</w:t>
            </w:r>
          </w:p>
        </w:tc>
      </w:tr>
      <w:tr w14:paraId="5006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pct"/>
            <w:vAlign w:val="center"/>
          </w:tcPr>
          <w:p w14:paraId="791A3460">
            <w:pPr>
              <w:snapToGrid w:val="0"/>
              <w:jc w:val="center"/>
            </w:pPr>
            <w:r>
              <w:t>1</w:t>
            </w:r>
          </w:p>
        </w:tc>
        <w:tc>
          <w:tcPr>
            <w:tcW w:w="1645" w:type="pct"/>
            <w:vAlign w:val="center"/>
          </w:tcPr>
          <w:p w14:paraId="7D584533">
            <w:pPr>
              <w:snapToGrid w:val="0"/>
              <w:jc w:val="center"/>
            </w:pPr>
            <w:r>
              <w:t>非甲烷总烃</w:t>
            </w:r>
          </w:p>
        </w:tc>
        <w:tc>
          <w:tcPr>
            <w:tcW w:w="1521" w:type="pct"/>
            <w:vAlign w:val="center"/>
          </w:tcPr>
          <w:p w14:paraId="3E63BF52">
            <w:pPr>
              <w:snapToGrid w:val="0"/>
              <w:jc w:val="center"/>
            </w:pPr>
            <w:r>
              <w:t>4.0</w:t>
            </w:r>
          </w:p>
        </w:tc>
        <w:tc>
          <w:tcPr>
            <w:tcW w:w="1003" w:type="pct"/>
            <w:vMerge w:val="restart"/>
            <w:vAlign w:val="center"/>
          </w:tcPr>
          <w:p w14:paraId="13AF8821">
            <w:pPr>
              <w:snapToGrid w:val="0"/>
              <w:jc w:val="center"/>
            </w:pPr>
            <w:r>
              <w:rPr>
                <w:rFonts w:hint="eastAsia"/>
              </w:rPr>
              <w:t>DB33/2146-2018</w:t>
            </w:r>
          </w:p>
        </w:tc>
      </w:tr>
      <w:tr w14:paraId="6698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5A2167AA">
            <w:pPr>
              <w:snapToGrid w:val="0"/>
              <w:jc w:val="center"/>
              <w:rPr>
                <w:rFonts w:hint="eastAsia" w:eastAsia="宋体"/>
                <w:lang w:val="en-US" w:eastAsia="zh-CN"/>
              </w:rPr>
            </w:pPr>
            <w:r>
              <w:rPr>
                <w:rFonts w:hint="eastAsia"/>
                <w:lang w:val="en-US" w:eastAsia="zh-CN"/>
              </w:rPr>
              <w:t>2</w:t>
            </w:r>
          </w:p>
        </w:tc>
        <w:tc>
          <w:tcPr>
            <w:tcW w:w="1645" w:type="pct"/>
            <w:vAlign w:val="center"/>
          </w:tcPr>
          <w:p w14:paraId="0B22C337">
            <w:pPr>
              <w:snapToGrid w:val="0"/>
              <w:jc w:val="center"/>
              <w:rPr>
                <w:rFonts w:hint="eastAsia" w:eastAsia="宋体"/>
                <w:lang w:val="en-US" w:eastAsia="zh-CN"/>
              </w:rPr>
            </w:pPr>
            <w:r>
              <w:rPr>
                <w:rFonts w:hint="eastAsia"/>
                <w:lang w:val="en-US" w:eastAsia="zh-CN"/>
              </w:rPr>
              <w:t>臭气浓度</w:t>
            </w:r>
          </w:p>
        </w:tc>
        <w:tc>
          <w:tcPr>
            <w:tcW w:w="1521" w:type="pct"/>
            <w:vAlign w:val="center"/>
          </w:tcPr>
          <w:p w14:paraId="62886FD5">
            <w:pPr>
              <w:snapToGrid w:val="0"/>
              <w:jc w:val="center"/>
              <w:rPr>
                <w:rFonts w:hint="default" w:eastAsia="宋体"/>
                <w:lang w:val="en-US" w:eastAsia="zh-CN"/>
              </w:rPr>
            </w:pPr>
            <w:r>
              <w:rPr>
                <w:rFonts w:hint="eastAsia"/>
                <w:lang w:val="en-US" w:eastAsia="zh-CN"/>
              </w:rPr>
              <w:t>20（无量纲）</w:t>
            </w:r>
          </w:p>
        </w:tc>
        <w:tc>
          <w:tcPr>
            <w:tcW w:w="1003" w:type="pct"/>
            <w:vMerge w:val="continue"/>
            <w:vAlign w:val="center"/>
          </w:tcPr>
          <w:p w14:paraId="34D7CD4B">
            <w:pPr>
              <w:snapToGrid w:val="0"/>
              <w:jc w:val="center"/>
              <w:rPr>
                <w:rFonts w:hint="default"/>
                <w:lang w:val="en-US"/>
              </w:rPr>
            </w:pPr>
          </w:p>
        </w:tc>
      </w:tr>
      <w:tr w14:paraId="0F36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49F2FD0A">
            <w:pPr>
              <w:snapToGrid w:val="0"/>
              <w:jc w:val="center"/>
              <w:rPr>
                <w:rFonts w:hint="default"/>
                <w:lang w:val="en-US" w:eastAsia="zh-CN"/>
              </w:rPr>
            </w:pPr>
            <w:r>
              <w:rPr>
                <w:rFonts w:hint="eastAsia"/>
                <w:lang w:val="en-US" w:eastAsia="zh-CN"/>
              </w:rPr>
              <w:t>3</w:t>
            </w:r>
          </w:p>
        </w:tc>
        <w:tc>
          <w:tcPr>
            <w:tcW w:w="1645" w:type="pct"/>
            <w:vAlign w:val="center"/>
          </w:tcPr>
          <w:p w14:paraId="194C0493">
            <w:pPr>
              <w:snapToGrid w:val="0"/>
              <w:jc w:val="center"/>
              <w:rPr>
                <w:rFonts w:hint="default"/>
                <w:lang w:val="en-US" w:eastAsia="zh-CN"/>
              </w:rPr>
            </w:pPr>
            <w:r>
              <w:rPr>
                <w:rFonts w:hint="eastAsia"/>
                <w:lang w:val="en-US" w:eastAsia="zh-CN"/>
              </w:rPr>
              <w:t>甲醛</w:t>
            </w:r>
          </w:p>
        </w:tc>
        <w:tc>
          <w:tcPr>
            <w:tcW w:w="1521" w:type="pct"/>
            <w:vAlign w:val="center"/>
          </w:tcPr>
          <w:p w14:paraId="7E212128">
            <w:pPr>
              <w:snapToGrid w:val="0"/>
              <w:jc w:val="center"/>
              <w:rPr>
                <w:rFonts w:hint="default"/>
                <w:lang w:val="en-US" w:eastAsia="zh-CN"/>
              </w:rPr>
            </w:pPr>
            <w:r>
              <w:rPr>
                <w:rFonts w:hint="eastAsia"/>
                <w:lang w:val="en-US" w:eastAsia="zh-CN"/>
              </w:rPr>
              <w:t>0.2</w:t>
            </w:r>
          </w:p>
        </w:tc>
        <w:tc>
          <w:tcPr>
            <w:tcW w:w="1003" w:type="pct"/>
            <w:vMerge w:val="continue"/>
            <w:vAlign w:val="center"/>
          </w:tcPr>
          <w:p w14:paraId="0BEFB869">
            <w:pPr>
              <w:snapToGrid w:val="0"/>
              <w:jc w:val="center"/>
              <w:rPr>
                <w:rFonts w:hint="default"/>
                <w:lang w:val="en-US"/>
              </w:rPr>
            </w:pPr>
          </w:p>
        </w:tc>
      </w:tr>
      <w:tr w14:paraId="109E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pct"/>
            <w:vAlign w:val="center"/>
          </w:tcPr>
          <w:p w14:paraId="15A9641A">
            <w:pPr>
              <w:snapToGrid w:val="0"/>
              <w:jc w:val="center"/>
              <w:rPr>
                <w:rFonts w:hint="eastAsia" w:eastAsia="宋体"/>
                <w:lang w:eastAsia="zh-CN"/>
              </w:rPr>
            </w:pPr>
            <w:r>
              <w:rPr>
                <w:rFonts w:hint="eastAsia"/>
                <w:lang w:val="en-US" w:eastAsia="zh-CN"/>
              </w:rPr>
              <w:t>3</w:t>
            </w:r>
          </w:p>
        </w:tc>
        <w:tc>
          <w:tcPr>
            <w:tcW w:w="1645" w:type="pct"/>
            <w:vAlign w:val="center"/>
          </w:tcPr>
          <w:p w14:paraId="1E71E8CD">
            <w:pPr>
              <w:snapToGrid w:val="0"/>
              <w:jc w:val="center"/>
            </w:pPr>
            <w:r>
              <w:t>颗粒物</w:t>
            </w:r>
          </w:p>
        </w:tc>
        <w:tc>
          <w:tcPr>
            <w:tcW w:w="1521" w:type="pct"/>
            <w:vAlign w:val="center"/>
          </w:tcPr>
          <w:p w14:paraId="12FCD286">
            <w:pPr>
              <w:snapToGrid w:val="0"/>
              <w:jc w:val="center"/>
            </w:pPr>
            <w:r>
              <w:t>1.0</w:t>
            </w:r>
          </w:p>
        </w:tc>
        <w:tc>
          <w:tcPr>
            <w:tcW w:w="1003" w:type="pct"/>
            <w:vAlign w:val="center"/>
          </w:tcPr>
          <w:p w14:paraId="08250E30">
            <w:pPr>
              <w:snapToGrid w:val="0"/>
              <w:jc w:val="center"/>
            </w:pPr>
            <w:r>
              <w:rPr>
                <w:rFonts w:hint="eastAsia"/>
              </w:rPr>
              <w:t>GB 16297-1996</w:t>
            </w:r>
          </w:p>
        </w:tc>
      </w:tr>
    </w:tbl>
    <w:p w14:paraId="189B6A14">
      <w:pPr>
        <w:pStyle w:val="116"/>
        <w:numPr>
          <w:ilvl w:val="0"/>
          <w:numId w:val="21"/>
        </w:numPr>
        <w:spacing w:before="156"/>
      </w:pPr>
      <w:r>
        <w:rPr>
          <w:rFonts w:hint="eastAsia"/>
        </w:rPr>
        <w:t>厂区内无组织排放限值</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3"/>
        <w:gridCol w:w="1721"/>
        <w:gridCol w:w="2850"/>
        <w:gridCol w:w="2448"/>
      </w:tblGrid>
      <w:tr w14:paraId="675635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tcBorders>
              <w:top w:val="single" w:color="auto" w:sz="2" w:space="0"/>
              <w:left w:val="single" w:color="auto" w:sz="2" w:space="0"/>
              <w:bottom w:val="single" w:color="auto" w:sz="2" w:space="0"/>
              <w:right w:val="single" w:color="auto" w:sz="2" w:space="0"/>
            </w:tcBorders>
            <w:vAlign w:val="center"/>
          </w:tcPr>
          <w:p w14:paraId="1D413BA3">
            <w:pPr>
              <w:snapToGrid w:val="0"/>
              <w:jc w:val="center"/>
            </w:pPr>
            <w:r>
              <w:rPr>
                <w:rFonts w:hint="eastAsia"/>
              </w:rPr>
              <w:t>序号</w:t>
            </w:r>
          </w:p>
        </w:tc>
        <w:tc>
          <w:tcPr>
            <w:tcW w:w="1010" w:type="pct"/>
            <w:tcBorders>
              <w:top w:val="single" w:color="auto" w:sz="2" w:space="0"/>
              <w:left w:val="single" w:color="auto" w:sz="2" w:space="0"/>
              <w:bottom w:val="single" w:color="auto" w:sz="2" w:space="0"/>
              <w:right w:val="single" w:color="auto" w:sz="2" w:space="0"/>
            </w:tcBorders>
            <w:vAlign w:val="center"/>
          </w:tcPr>
          <w:p w14:paraId="6A99A2CC">
            <w:pPr>
              <w:snapToGrid w:val="0"/>
              <w:jc w:val="center"/>
            </w:pPr>
            <w:r>
              <w:rPr>
                <w:rFonts w:hint="eastAsia"/>
              </w:rPr>
              <w:t>监控点限值</w:t>
            </w:r>
          </w:p>
        </w:tc>
        <w:tc>
          <w:tcPr>
            <w:tcW w:w="1672" w:type="pct"/>
            <w:tcBorders>
              <w:top w:val="single" w:color="auto" w:sz="2" w:space="0"/>
              <w:left w:val="single" w:color="auto" w:sz="2" w:space="0"/>
              <w:bottom w:val="single" w:color="auto" w:sz="2" w:space="0"/>
              <w:right w:val="single" w:color="auto" w:sz="2" w:space="0"/>
            </w:tcBorders>
            <w:vAlign w:val="center"/>
          </w:tcPr>
          <w:p w14:paraId="230749FF">
            <w:pPr>
              <w:snapToGrid w:val="0"/>
              <w:jc w:val="center"/>
            </w:pPr>
            <w:r>
              <w:rPr>
                <w:rFonts w:hint="eastAsia"/>
              </w:rPr>
              <w:t>限值含义</w:t>
            </w:r>
          </w:p>
        </w:tc>
        <w:tc>
          <w:tcPr>
            <w:tcW w:w="1436" w:type="pct"/>
            <w:tcBorders>
              <w:top w:val="single" w:color="auto" w:sz="2" w:space="0"/>
              <w:left w:val="single" w:color="auto" w:sz="2" w:space="0"/>
              <w:bottom w:val="single" w:color="auto" w:sz="2" w:space="0"/>
              <w:right w:val="single" w:color="auto" w:sz="2" w:space="0"/>
            </w:tcBorders>
            <w:vAlign w:val="center"/>
          </w:tcPr>
          <w:p w14:paraId="69AE85F7">
            <w:pPr>
              <w:snapToGrid w:val="0"/>
              <w:jc w:val="center"/>
            </w:pPr>
            <w:r>
              <w:rPr>
                <w:rFonts w:hint="eastAsia"/>
              </w:rPr>
              <w:t>无组织排放监控位置</w:t>
            </w:r>
          </w:p>
        </w:tc>
      </w:tr>
      <w:tr w14:paraId="2033CB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restart"/>
            <w:tcBorders>
              <w:top w:val="single" w:color="auto" w:sz="2" w:space="0"/>
              <w:left w:val="single" w:color="auto" w:sz="2" w:space="0"/>
              <w:right w:val="single" w:color="auto" w:sz="2" w:space="0"/>
            </w:tcBorders>
            <w:vAlign w:val="center"/>
          </w:tcPr>
          <w:p w14:paraId="71595C4B">
            <w:pPr>
              <w:snapToGrid w:val="0"/>
              <w:jc w:val="center"/>
            </w:pPr>
            <w:r>
              <w:t>NMHC</w:t>
            </w:r>
          </w:p>
        </w:tc>
        <w:tc>
          <w:tcPr>
            <w:tcW w:w="1010" w:type="pct"/>
            <w:tcBorders>
              <w:top w:val="single" w:color="auto" w:sz="2" w:space="0"/>
              <w:left w:val="single" w:color="auto" w:sz="2" w:space="0"/>
              <w:bottom w:val="single" w:color="auto" w:sz="2" w:space="0"/>
              <w:right w:val="single" w:color="auto" w:sz="2" w:space="0"/>
            </w:tcBorders>
            <w:vAlign w:val="center"/>
          </w:tcPr>
          <w:p w14:paraId="0C369D04">
            <w:pPr>
              <w:snapToGrid w:val="0"/>
              <w:jc w:val="center"/>
            </w:pPr>
            <w:r>
              <w:rPr>
                <w:rFonts w:hint="eastAsia"/>
              </w:rPr>
              <w:t>6</w:t>
            </w:r>
          </w:p>
        </w:tc>
        <w:tc>
          <w:tcPr>
            <w:tcW w:w="1672" w:type="pct"/>
            <w:tcBorders>
              <w:top w:val="single" w:color="auto" w:sz="2" w:space="0"/>
              <w:left w:val="single" w:color="auto" w:sz="2" w:space="0"/>
              <w:bottom w:val="single" w:color="auto" w:sz="2" w:space="0"/>
              <w:right w:val="single" w:color="auto" w:sz="2" w:space="0"/>
            </w:tcBorders>
            <w:vAlign w:val="center"/>
          </w:tcPr>
          <w:p w14:paraId="263247FE">
            <w:pPr>
              <w:snapToGrid w:val="0"/>
              <w:jc w:val="center"/>
            </w:pPr>
            <w:r>
              <w:rPr>
                <w:rFonts w:hint="eastAsia"/>
              </w:rPr>
              <w:t>监控点处1小时平均浓度值</w:t>
            </w:r>
          </w:p>
        </w:tc>
        <w:tc>
          <w:tcPr>
            <w:tcW w:w="1436" w:type="pct"/>
            <w:vMerge w:val="restart"/>
            <w:tcBorders>
              <w:top w:val="single" w:color="auto" w:sz="2" w:space="0"/>
              <w:left w:val="single" w:color="auto" w:sz="2" w:space="0"/>
              <w:right w:val="single" w:color="auto" w:sz="2" w:space="0"/>
            </w:tcBorders>
            <w:vAlign w:val="center"/>
          </w:tcPr>
          <w:p w14:paraId="7200B52F">
            <w:pPr>
              <w:snapToGrid w:val="0"/>
              <w:jc w:val="center"/>
            </w:pPr>
            <w:r>
              <w:rPr>
                <w:rFonts w:hint="eastAsia"/>
              </w:rPr>
              <w:t>在厂房外设置监控点</w:t>
            </w:r>
          </w:p>
        </w:tc>
      </w:tr>
      <w:tr w14:paraId="735FB3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continue"/>
            <w:tcBorders>
              <w:left w:val="single" w:color="auto" w:sz="2" w:space="0"/>
              <w:bottom w:val="single" w:color="auto" w:sz="2" w:space="0"/>
              <w:right w:val="single" w:color="auto" w:sz="2" w:space="0"/>
            </w:tcBorders>
            <w:vAlign w:val="center"/>
          </w:tcPr>
          <w:p w14:paraId="7E02939B">
            <w:pPr>
              <w:snapToGrid w:val="0"/>
              <w:jc w:val="center"/>
            </w:pPr>
          </w:p>
        </w:tc>
        <w:tc>
          <w:tcPr>
            <w:tcW w:w="1010" w:type="pct"/>
            <w:tcBorders>
              <w:top w:val="single" w:color="auto" w:sz="2" w:space="0"/>
              <w:left w:val="single" w:color="auto" w:sz="2" w:space="0"/>
              <w:bottom w:val="single" w:color="auto" w:sz="2" w:space="0"/>
              <w:right w:val="single" w:color="auto" w:sz="2" w:space="0"/>
            </w:tcBorders>
            <w:vAlign w:val="center"/>
          </w:tcPr>
          <w:p w14:paraId="43E59D3D">
            <w:pPr>
              <w:snapToGrid w:val="0"/>
              <w:jc w:val="center"/>
            </w:pPr>
            <w:r>
              <w:rPr>
                <w:rFonts w:hint="eastAsia"/>
              </w:rPr>
              <w:t>2</w:t>
            </w:r>
            <w:r>
              <w:t>0</w:t>
            </w:r>
          </w:p>
        </w:tc>
        <w:tc>
          <w:tcPr>
            <w:tcW w:w="1672" w:type="pct"/>
            <w:tcBorders>
              <w:top w:val="single" w:color="auto" w:sz="2" w:space="0"/>
              <w:left w:val="single" w:color="auto" w:sz="2" w:space="0"/>
              <w:bottom w:val="single" w:color="auto" w:sz="2" w:space="0"/>
              <w:right w:val="single" w:color="auto" w:sz="2" w:space="0"/>
            </w:tcBorders>
            <w:vAlign w:val="center"/>
          </w:tcPr>
          <w:p w14:paraId="5ACE17C8">
            <w:pPr>
              <w:snapToGrid w:val="0"/>
              <w:jc w:val="center"/>
            </w:pPr>
            <w:r>
              <w:rPr>
                <w:rFonts w:hint="eastAsia"/>
              </w:rPr>
              <w:t>监控点处任意一次浓度值</w:t>
            </w:r>
          </w:p>
        </w:tc>
        <w:tc>
          <w:tcPr>
            <w:tcW w:w="1436" w:type="pct"/>
            <w:vMerge w:val="continue"/>
            <w:tcBorders>
              <w:left w:val="single" w:color="auto" w:sz="2" w:space="0"/>
              <w:bottom w:val="single" w:color="auto" w:sz="2" w:space="0"/>
              <w:right w:val="single" w:color="auto" w:sz="2" w:space="0"/>
            </w:tcBorders>
            <w:vAlign w:val="center"/>
          </w:tcPr>
          <w:p w14:paraId="2F733FB4">
            <w:pPr>
              <w:snapToGrid w:val="0"/>
              <w:jc w:val="center"/>
            </w:pPr>
          </w:p>
        </w:tc>
      </w:tr>
    </w:tbl>
    <w:p w14:paraId="39718C05">
      <w:pPr>
        <w:pStyle w:val="122"/>
        <w:ind w:firstLine="482"/>
        <w:jc w:val="left"/>
        <w:rPr>
          <w:b/>
        </w:rPr>
      </w:pPr>
      <w:r>
        <w:rPr>
          <w:b/>
        </w:rPr>
        <w:t>2</w:t>
      </w:r>
      <w:r>
        <w:rPr>
          <w:rFonts w:hint="eastAsia"/>
          <w:b/>
        </w:rPr>
        <w:t>、废水</w:t>
      </w:r>
    </w:p>
    <w:p w14:paraId="5415785A">
      <w:pPr>
        <w:spacing w:line="360" w:lineRule="auto"/>
        <w:ind w:firstLine="480" w:firstLineChars="200"/>
        <w:rPr>
          <w:sz w:val="24"/>
          <w:szCs w:val="24"/>
        </w:rPr>
      </w:pPr>
      <w:bookmarkStart w:id="6" w:name="_Hlk162365076"/>
      <w:r>
        <w:rPr>
          <w:rFonts w:hint="eastAsia"/>
          <w:sz w:val="24"/>
          <w:szCs w:val="24"/>
        </w:rPr>
        <w:t>本项目实施后，外排废水为员工生活污水和水帘喷淋废水。生活污水经园区内隔油池、化粪池处理后纳管排放，水帘喷淋废水经絮凝沉淀、打捞沉渣后循环使用到不能再适合使用后纳管排放。生活污水和水帘喷淋废水纳管排放执行《污水综合排放标准》(GB8978-1996)中的三级标准(其中氨氮、总磷参照执行DB33/887-2013《工业企业废水氮、磷污染物间接排放限值》)。临平净水厂尾水中COD、氨氮、总氮、总磷排放执行《城镇污水处理厂主要水污染物排放标准》(DB33/2169-2018)表1中的排放限值，其余指标执行《城镇污水处理厂污染物排放标准》(GB18918-2002)中的一级A标准，具体详见下表。</w:t>
      </w:r>
    </w:p>
    <w:p w14:paraId="56B6FB0C">
      <w:pPr>
        <w:pStyle w:val="116"/>
        <w:numPr>
          <w:ilvl w:val="0"/>
          <w:numId w:val="21"/>
        </w:numPr>
        <w:spacing w:before="156"/>
      </w:pPr>
      <w:r>
        <w:t>废水排放标准  单位：mg/L，除pH外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657"/>
        <w:gridCol w:w="994"/>
        <w:gridCol w:w="931"/>
        <w:gridCol w:w="648"/>
        <w:gridCol w:w="1074"/>
        <w:gridCol w:w="808"/>
        <w:gridCol w:w="747"/>
        <w:gridCol w:w="1002"/>
      </w:tblGrid>
      <w:tr w14:paraId="34EE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vAlign w:val="center"/>
          </w:tcPr>
          <w:p w14:paraId="44C9D9D8">
            <w:pPr>
              <w:snapToGrid w:val="0"/>
              <w:jc w:val="center"/>
            </w:pPr>
            <w:r>
              <w:t>指标</w:t>
            </w:r>
          </w:p>
        </w:tc>
        <w:tc>
          <w:tcPr>
            <w:tcW w:w="386" w:type="pct"/>
            <w:vAlign w:val="center"/>
          </w:tcPr>
          <w:p w14:paraId="0EB70F2F">
            <w:pPr>
              <w:snapToGrid w:val="0"/>
              <w:jc w:val="center"/>
            </w:pPr>
            <w:r>
              <w:t>pH</w:t>
            </w:r>
          </w:p>
        </w:tc>
        <w:tc>
          <w:tcPr>
            <w:tcW w:w="583" w:type="pct"/>
            <w:vAlign w:val="center"/>
          </w:tcPr>
          <w:p w14:paraId="1FCE3E24">
            <w:pPr>
              <w:snapToGrid w:val="0"/>
              <w:jc w:val="center"/>
            </w:pPr>
            <w:r>
              <w:t>COD</w:t>
            </w:r>
            <w:r>
              <w:rPr>
                <w:vertAlign w:val="subscript"/>
              </w:rPr>
              <w:t>Cr</w:t>
            </w:r>
          </w:p>
        </w:tc>
        <w:tc>
          <w:tcPr>
            <w:tcW w:w="546" w:type="pct"/>
            <w:vAlign w:val="center"/>
          </w:tcPr>
          <w:p w14:paraId="4632AA2B">
            <w:pPr>
              <w:snapToGrid w:val="0"/>
              <w:jc w:val="center"/>
            </w:pPr>
            <w:r>
              <w:t>BOD</w:t>
            </w:r>
            <w:r>
              <w:rPr>
                <w:vertAlign w:val="subscript"/>
              </w:rPr>
              <w:t>5</w:t>
            </w:r>
          </w:p>
        </w:tc>
        <w:tc>
          <w:tcPr>
            <w:tcW w:w="380" w:type="pct"/>
            <w:vAlign w:val="center"/>
          </w:tcPr>
          <w:p w14:paraId="20B70B37">
            <w:pPr>
              <w:snapToGrid w:val="0"/>
              <w:jc w:val="center"/>
            </w:pPr>
            <w:r>
              <w:t>SS</w:t>
            </w:r>
          </w:p>
        </w:tc>
        <w:tc>
          <w:tcPr>
            <w:tcW w:w="630" w:type="pct"/>
            <w:vAlign w:val="center"/>
          </w:tcPr>
          <w:p w14:paraId="2935FD6C">
            <w:pPr>
              <w:snapToGrid w:val="0"/>
              <w:jc w:val="center"/>
            </w:pPr>
            <w:r>
              <w:t>氨氮</w:t>
            </w:r>
          </w:p>
        </w:tc>
        <w:tc>
          <w:tcPr>
            <w:tcW w:w="474" w:type="pct"/>
            <w:vAlign w:val="center"/>
          </w:tcPr>
          <w:p w14:paraId="1747D3CE">
            <w:pPr>
              <w:snapToGrid w:val="0"/>
              <w:jc w:val="center"/>
            </w:pPr>
            <w:r>
              <w:t>石油类</w:t>
            </w:r>
          </w:p>
        </w:tc>
        <w:tc>
          <w:tcPr>
            <w:tcW w:w="438" w:type="pct"/>
            <w:vAlign w:val="center"/>
          </w:tcPr>
          <w:p w14:paraId="399548D3">
            <w:pPr>
              <w:snapToGrid w:val="0"/>
              <w:jc w:val="center"/>
            </w:pPr>
            <w:r>
              <w:t>LAS</w:t>
            </w:r>
          </w:p>
        </w:tc>
        <w:tc>
          <w:tcPr>
            <w:tcW w:w="586" w:type="pct"/>
            <w:vAlign w:val="center"/>
          </w:tcPr>
          <w:p w14:paraId="2F1788F7">
            <w:pPr>
              <w:snapToGrid w:val="0"/>
              <w:jc w:val="center"/>
            </w:pPr>
            <w:r>
              <w:t>动植物油</w:t>
            </w:r>
          </w:p>
        </w:tc>
      </w:tr>
      <w:tr w14:paraId="789E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vAlign w:val="center"/>
          </w:tcPr>
          <w:p w14:paraId="3282B423">
            <w:pPr>
              <w:snapToGrid w:val="0"/>
              <w:jc w:val="center"/>
            </w:pPr>
            <w:r>
              <w:t>纳管标准</w:t>
            </w:r>
          </w:p>
        </w:tc>
        <w:tc>
          <w:tcPr>
            <w:tcW w:w="386" w:type="pct"/>
            <w:vMerge w:val="restart"/>
            <w:vAlign w:val="center"/>
          </w:tcPr>
          <w:p w14:paraId="5B456E64">
            <w:pPr>
              <w:snapToGrid w:val="0"/>
              <w:jc w:val="center"/>
            </w:pPr>
            <w:r>
              <w:t>6~9</w:t>
            </w:r>
          </w:p>
        </w:tc>
        <w:tc>
          <w:tcPr>
            <w:tcW w:w="583" w:type="pct"/>
            <w:vAlign w:val="center"/>
          </w:tcPr>
          <w:p w14:paraId="11A8DDB4">
            <w:pPr>
              <w:snapToGrid w:val="0"/>
              <w:jc w:val="center"/>
            </w:pPr>
            <w:r>
              <w:t>500</w:t>
            </w:r>
          </w:p>
        </w:tc>
        <w:tc>
          <w:tcPr>
            <w:tcW w:w="546" w:type="pct"/>
            <w:vAlign w:val="center"/>
          </w:tcPr>
          <w:p w14:paraId="164E0109">
            <w:pPr>
              <w:snapToGrid w:val="0"/>
              <w:jc w:val="center"/>
            </w:pPr>
            <w:r>
              <w:t>300</w:t>
            </w:r>
          </w:p>
        </w:tc>
        <w:tc>
          <w:tcPr>
            <w:tcW w:w="380" w:type="pct"/>
            <w:vAlign w:val="center"/>
          </w:tcPr>
          <w:p w14:paraId="498A640D">
            <w:pPr>
              <w:snapToGrid w:val="0"/>
              <w:jc w:val="center"/>
            </w:pPr>
            <w:r>
              <w:t>400</w:t>
            </w:r>
          </w:p>
        </w:tc>
        <w:tc>
          <w:tcPr>
            <w:tcW w:w="630" w:type="pct"/>
            <w:vAlign w:val="center"/>
          </w:tcPr>
          <w:p w14:paraId="5D2D1FE3">
            <w:pPr>
              <w:snapToGrid w:val="0"/>
              <w:jc w:val="center"/>
            </w:pPr>
            <w:r>
              <w:t>35</w:t>
            </w:r>
            <w:r>
              <w:rPr>
                <w:rFonts w:hint="eastAsia"/>
              </w:rPr>
              <w:t>①</w:t>
            </w:r>
          </w:p>
        </w:tc>
        <w:tc>
          <w:tcPr>
            <w:tcW w:w="474" w:type="pct"/>
            <w:vAlign w:val="center"/>
          </w:tcPr>
          <w:p w14:paraId="272D2726">
            <w:pPr>
              <w:snapToGrid w:val="0"/>
              <w:jc w:val="center"/>
            </w:pPr>
            <w:r>
              <w:t>20</w:t>
            </w:r>
          </w:p>
        </w:tc>
        <w:tc>
          <w:tcPr>
            <w:tcW w:w="438" w:type="pct"/>
            <w:vAlign w:val="center"/>
          </w:tcPr>
          <w:p w14:paraId="0A43B4ED">
            <w:pPr>
              <w:snapToGrid w:val="0"/>
              <w:jc w:val="center"/>
            </w:pPr>
            <w:r>
              <w:t>20</w:t>
            </w:r>
          </w:p>
        </w:tc>
        <w:tc>
          <w:tcPr>
            <w:tcW w:w="586" w:type="pct"/>
            <w:vAlign w:val="center"/>
          </w:tcPr>
          <w:p w14:paraId="62808C96">
            <w:pPr>
              <w:snapToGrid w:val="0"/>
              <w:jc w:val="center"/>
            </w:pPr>
            <w:r>
              <w:t>100</w:t>
            </w:r>
          </w:p>
        </w:tc>
      </w:tr>
      <w:tr w14:paraId="149F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5" w:type="pct"/>
            <w:vAlign w:val="center"/>
          </w:tcPr>
          <w:p w14:paraId="6A548028">
            <w:pPr>
              <w:snapToGrid w:val="0"/>
              <w:jc w:val="center"/>
            </w:pPr>
            <w:r>
              <w:t>污水厂出水标准</w:t>
            </w:r>
          </w:p>
        </w:tc>
        <w:tc>
          <w:tcPr>
            <w:tcW w:w="386" w:type="pct"/>
            <w:vMerge w:val="continue"/>
            <w:vAlign w:val="center"/>
          </w:tcPr>
          <w:p w14:paraId="46C574FE">
            <w:pPr>
              <w:snapToGrid w:val="0"/>
              <w:jc w:val="center"/>
            </w:pPr>
          </w:p>
        </w:tc>
        <w:tc>
          <w:tcPr>
            <w:tcW w:w="583" w:type="pct"/>
            <w:vAlign w:val="center"/>
          </w:tcPr>
          <w:p w14:paraId="202614C9">
            <w:pPr>
              <w:snapToGrid w:val="0"/>
              <w:jc w:val="center"/>
            </w:pPr>
            <w:r>
              <w:t>40</w:t>
            </w:r>
          </w:p>
        </w:tc>
        <w:tc>
          <w:tcPr>
            <w:tcW w:w="546" w:type="pct"/>
            <w:vAlign w:val="center"/>
          </w:tcPr>
          <w:p w14:paraId="6FF814B2">
            <w:pPr>
              <w:snapToGrid w:val="0"/>
              <w:jc w:val="center"/>
            </w:pPr>
            <w:r>
              <w:t>10</w:t>
            </w:r>
          </w:p>
        </w:tc>
        <w:tc>
          <w:tcPr>
            <w:tcW w:w="380" w:type="pct"/>
            <w:vAlign w:val="center"/>
          </w:tcPr>
          <w:p w14:paraId="1B3EDAEA">
            <w:pPr>
              <w:snapToGrid w:val="0"/>
              <w:jc w:val="center"/>
            </w:pPr>
            <w:r>
              <w:t>10</w:t>
            </w:r>
          </w:p>
        </w:tc>
        <w:tc>
          <w:tcPr>
            <w:tcW w:w="630" w:type="pct"/>
            <w:vAlign w:val="center"/>
          </w:tcPr>
          <w:p w14:paraId="55610C5D">
            <w:pPr>
              <w:snapToGrid w:val="0"/>
              <w:jc w:val="center"/>
            </w:pPr>
            <w:r>
              <w:t>2(4)</w:t>
            </w:r>
            <w:r>
              <w:rPr>
                <w:rFonts w:hint="eastAsia"/>
              </w:rPr>
              <w:t>②</w:t>
            </w:r>
          </w:p>
        </w:tc>
        <w:tc>
          <w:tcPr>
            <w:tcW w:w="474" w:type="pct"/>
            <w:vAlign w:val="center"/>
          </w:tcPr>
          <w:p w14:paraId="07241EF6">
            <w:pPr>
              <w:snapToGrid w:val="0"/>
              <w:jc w:val="center"/>
            </w:pPr>
            <w:r>
              <w:t>1</w:t>
            </w:r>
          </w:p>
        </w:tc>
        <w:tc>
          <w:tcPr>
            <w:tcW w:w="438" w:type="pct"/>
            <w:vAlign w:val="center"/>
          </w:tcPr>
          <w:p w14:paraId="0FC4684F">
            <w:pPr>
              <w:snapToGrid w:val="0"/>
              <w:jc w:val="center"/>
            </w:pPr>
            <w:r>
              <w:t>0.5</w:t>
            </w:r>
          </w:p>
        </w:tc>
        <w:tc>
          <w:tcPr>
            <w:tcW w:w="586" w:type="pct"/>
            <w:vAlign w:val="center"/>
          </w:tcPr>
          <w:p w14:paraId="7CE2673A">
            <w:pPr>
              <w:snapToGrid w:val="0"/>
              <w:jc w:val="center"/>
            </w:pPr>
            <w:r>
              <w:t>1</w:t>
            </w:r>
          </w:p>
        </w:tc>
      </w:tr>
      <w:tr w14:paraId="0CA9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9"/>
            <w:vAlign w:val="center"/>
          </w:tcPr>
          <w:p w14:paraId="360F868F">
            <w:pPr>
              <w:snapToGrid w:val="0"/>
              <w:jc w:val="center"/>
            </w:pPr>
            <w:r>
              <w:t>注：</w:t>
            </w:r>
            <w:r>
              <w:fldChar w:fldCharType="begin"/>
            </w:r>
            <w:r>
              <w:instrText xml:space="preserve"> = 1 \* GB3 </w:instrText>
            </w:r>
            <w:r>
              <w:fldChar w:fldCharType="separate"/>
            </w:r>
            <w:r>
              <w:rPr>
                <w:rFonts w:hint="eastAsia"/>
              </w:rPr>
              <w:t>①</w:t>
            </w:r>
            <w:r>
              <w:fldChar w:fldCharType="end"/>
            </w:r>
            <w:r>
              <w:t>氨氮无三级排放标准，参照执行DB33/887-2013《工业企业废水氮磷污染物间接排放限值》；</w:t>
            </w:r>
            <w:r>
              <w:rPr>
                <w:rFonts w:hint="eastAsia"/>
              </w:rPr>
              <w:t>②</w:t>
            </w:r>
            <w:r>
              <w:t>括号内数值为每年11月1日至次年3月31日执行。</w:t>
            </w:r>
          </w:p>
        </w:tc>
      </w:tr>
      <w:bookmarkEnd w:id="6"/>
    </w:tbl>
    <w:p w14:paraId="6D1C5103">
      <w:pPr>
        <w:pStyle w:val="122"/>
        <w:ind w:firstLine="482"/>
        <w:jc w:val="left"/>
        <w:rPr>
          <w:b/>
        </w:rPr>
      </w:pPr>
      <w:r>
        <w:rPr>
          <w:b/>
        </w:rPr>
        <w:t>3</w:t>
      </w:r>
      <w:r>
        <w:rPr>
          <w:rFonts w:hint="eastAsia"/>
          <w:b/>
        </w:rPr>
        <w:t>、噪声</w:t>
      </w:r>
    </w:p>
    <w:p w14:paraId="725CD593">
      <w:pPr>
        <w:snapToGrid w:val="0"/>
        <w:spacing w:line="360" w:lineRule="auto"/>
        <w:ind w:firstLine="480" w:firstLineChars="200"/>
        <w:rPr>
          <w:sz w:val="24"/>
          <w:szCs w:val="24"/>
        </w:rPr>
      </w:pPr>
      <w:r>
        <w:rPr>
          <w:rFonts w:hint="eastAsia"/>
          <w:sz w:val="24"/>
          <w:szCs w:val="24"/>
        </w:rPr>
        <w:t>项目营运期间，四周厂界噪声执行《工业企业厂界环境噪声排放标准》</w:t>
      </w:r>
      <w:r>
        <w:rPr>
          <w:sz w:val="24"/>
          <w:szCs w:val="24"/>
        </w:rPr>
        <w:t>(GB12348-2008)</w:t>
      </w:r>
      <w:r>
        <w:rPr>
          <w:rFonts w:hint="eastAsia"/>
          <w:sz w:val="24"/>
          <w:szCs w:val="24"/>
        </w:rPr>
        <w:t>中的</w:t>
      </w:r>
      <w:r>
        <w:rPr>
          <w:sz w:val="24"/>
          <w:szCs w:val="24"/>
        </w:rPr>
        <w:t>3</w:t>
      </w:r>
      <w:r>
        <w:rPr>
          <w:rFonts w:hint="eastAsia"/>
          <w:sz w:val="24"/>
          <w:szCs w:val="24"/>
        </w:rPr>
        <w:t>类标准，具体标准值见下表。</w:t>
      </w:r>
    </w:p>
    <w:p w14:paraId="6E7A6169">
      <w:pPr>
        <w:pStyle w:val="116"/>
        <w:numPr>
          <w:ilvl w:val="0"/>
          <w:numId w:val="21"/>
        </w:numPr>
        <w:spacing w:before="156"/>
      </w:pPr>
      <w:r>
        <w:t>GB12348-2008</w:t>
      </w:r>
      <w:r>
        <w:rPr>
          <w:rFonts w:hint="eastAsia"/>
        </w:rPr>
        <w:t>《工业企业厂界环境噪声排放标准》</w:t>
      </w:r>
      <w:r>
        <w:t xml:space="preserve"> </w:t>
      </w:r>
      <w:r>
        <w:rPr>
          <w:rFonts w:hint="eastAsia"/>
        </w:rPr>
        <w:t>单位：d</w:t>
      </w:r>
      <w: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4DB6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67F7E078">
            <w:pPr>
              <w:adjustRightInd w:val="0"/>
              <w:snapToGrid w:val="0"/>
              <w:jc w:val="center"/>
            </w:pPr>
            <w:r>
              <w:rPr>
                <w:rFonts w:hint="eastAsia"/>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2B6B4804">
            <w:pPr>
              <w:adjustRightInd w:val="0"/>
              <w:snapToGrid w:val="0"/>
              <w:jc w:val="center"/>
            </w:pPr>
            <w:r>
              <w:rPr>
                <w:rFonts w:hint="eastAsia"/>
              </w:rPr>
              <w:t>等效声级</w:t>
            </w:r>
            <w:r>
              <w:t>Leq</w:t>
            </w:r>
          </w:p>
        </w:tc>
      </w:tr>
      <w:tr w14:paraId="6E5C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07C08E8">
            <w:pPr>
              <w:adjustRightInd w:val="0"/>
              <w:snapToGrid w:val="0"/>
              <w:jc w:val="center"/>
            </w:pPr>
          </w:p>
        </w:tc>
        <w:tc>
          <w:tcPr>
            <w:tcW w:w="2787" w:type="dxa"/>
            <w:tcBorders>
              <w:top w:val="single" w:color="auto" w:sz="4" w:space="0"/>
              <w:left w:val="single" w:color="auto" w:sz="4" w:space="0"/>
              <w:bottom w:val="single" w:color="auto" w:sz="4" w:space="0"/>
              <w:right w:val="single" w:color="auto" w:sz="4" w:space="0"/>
            </w:tcBorders>
            <w:vAlign w:val="center"/>
          </w:tcPr>
          <w:p w14:paraId="616EB10D">
            <w:pPr>
              <w:pStyle w:val="45"/>
              <w:adjustRightInd w:val="0"/>
              <w:snapToGrid w:val="0"/>
              <w:rPr>
                <w:kern w:val="0"/>
                <w:sz w:val="21"/>
                <w:szCs w:val="21"/>
              </w:rPr>
            </w:pPr>
            <w:r>
              <w:rPr>
                <w:rFonts w:hint="eastAsia"/>
                <w:kern w:val="0"/>
                <w:sz w:val="21"/>
                <w:szCs w:val="21"/>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6E8B3AD4">
            <w:pPr>
              <w:pStyle w:val="45"/>
              <w:adjustRightInd w:val="0"/>
              <w:snapToGrid w:val="0"/>
              <w:ind w:left="360" w:hanging="360"/>
              <w:rPr>
                <w:kern w:val="0"/>
                <w:sz w:val="21"/>
                <w:szCs w:val="21"/>
              </w:rPr>
            </w:pPr>
            <w:r>
              <w:rPr>
                <w:rFonts w:hint="eastAsia"/>
                <w:kern w:val="0"/>
                <w:sz w:val="21"/>
                <w:szCs w:val="21"/>
              </w:rPr>
              <w:t>夜间</w:t>
            </w:r>
          </w:p>
        </w:tc>
      </w:tr>
      <w:tr w14:paraId="5106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777A968A">
            <w:pPr>
              <w:adjustRightInd w:val="0"/>
              <w:snapToGrid w:val="0"/>
              <w:jc w:val="center"/>
            </w:pPr>
            <w:r>
              <w:t>3</w:t>
            </w:r>
            <w:r>
              <w:rPr>
                <w:rFonts w:hint="eastAsia"/>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34EE1542">
            <w:pPr>
              <w:adjustRightInd w:val="0"/>
              <w:snapToGrid w:val="0"/>
              <w:jc w:val="center"/>
            </w:pPr>
            <w:r>
              <w:t>65</w:t>
            </w:r>
          </w:p>
        </w:tc>
        <w:tc>
          <w:tcPr>
            <w:tcW w:w="2785" w:type="dxa"/>
            <w:tcBorders>
              <w:top w:val="single" w:color="auto" w:sz="4" w:space="0"/>
              <w:left w:val="single" w:color="auto" w:sz="4" w:space="0"/>
              <w:bottom w:val="single" w:color="auto" w:sz="4" w:space="0"/>
              <w:right w:val="single" w:color="auto" w:sz="4" w:space="0"/>
            </w:tcBorders>
            <w:vAlign w:val="center"/>
          </w:tcPr>
          <w:p w14:paraId="2CB258D3">
            <w:pPr>
              <w:adjustRightInd w:val="0"/>
              <w:snapToGrid w:val="0"/>
              <w:jc w:val="center"/>
            </w:pPr>
            <w:r>
              <w:t>55</w:t>
            </w:r>
          </w:p>
        </w:tc>
      </w:tr>
    </w:tbl>
    <w:p w14:paraId="7ACF34B7">
      <w:pPr>
        <w:pStyle w:val="122"/>
        <w:ind w:firstLine="482"/>
        <w:jc w:val="left"/>
        <w:rPr>
          <w:b/>
        </w:rPr>
      </w:pPr>
      <w:r>
        <w:rPr>
          <w:b/>
        </w:rPr>
        <w:t>4</w:t>
      </w:r>
      <w:r>
        <w:rPr>
          <w:rFonts w:hint="eastAsia"/>
          <w:b/>
        </w:rPr>
        <w:t>、固体废物控制标准</w:t>
      </w:r>
    </w:p>
    <w:p w14:paraId="7A264D75">
      <w:pPr>
        <w:pStyle w:val="122"/>
        <w:ind w:firstLine="480"/>
        <w:rPr>
          <w:b/>
        </w:rPr>
      </w:pPr>
      <w:r>
        <w:rPr>
          <w:rFonts w:hint="eastAsia"/>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2A7680CF">
      <w:pPr>
        <w:pStyle w:val="3"/>
        <w:spacing w:line="360" w:lineRule="auto"/>
        <w:jc w:val="left"/>
      </w:pPr>
      <w:r>
        <w:rPr>
          <w:rFonts w:hint="eastAsia"/>
        </w:rPr>
        <w:t>四、与</w:t>
      </w:r>
      <w:r>
        <w:rPr>
          <w:rFonts w:hint="eastAsia"/>
          <w:kern w:val="2"/>
          <w:szCs w:val="24"/>
        </w:rPr>
        <w:t>《杭州市生态环境分区管控动态更新方案》</w:t>
      </w:r>
      <w:r>
        <w:rPr>
          <w:rFonts w:hint="eastAsia"/>
        </w:rPr>
        <w:t>及规划环评符合性分析</w:t>
      </w:r>
      <w:bookmarkEnd w:id="5"/>
    </w:p>
    <w:p w14:paraId="1F38500E">
      <w:pPr>
        <w:spacing w:line="360" w:lineRule="auto"/>
        <w:ind w:firstLine="482" w:firstLineChars="200"/>
        <w:jc w:val="left"/>
        <w:outlineLvl w:val="1"/>
        <w:rPr>
          <w:b/>
          <w:sz w:val="24"/>
          <w:szCs w:val="24"/>
        </w:rPr>
      </w:pPr>
      <w:bookmarkStart w:id="7" w:name="_Toc31013"/>
      <w:r>
        <w:rPr>
          <w:b/>
          <w:sz w:val="24"/>
          <w:szCs w:val="24"/>
        </w:rPr>
        <w:t>（1）</w:t>
      </w:r>
      <w:r>
        <w:rPr>
          <w:rFonts w:hint="eastAsia"/>
          <w:b/>
          <w:sz w:val="24"/>
          <w:szCs w:val="24"/>
        </w:rPr>
        <w:t>《杭州市生态环境分区管控动态更新方案》</w:t>
      </w:r>
      <w:r>
        <w:rPr>
          <w:b/>
          <w:sz w:val="24"/>
          <w:szCs w:val="24"/>
        </w:rPr>
        <w:t>相符性分析</w:t>
      </w:r>
      <w:bookmarkEnd w:id="7"/>
    </w:p>
    <w:p w14:paraId="4E63EE2B">
      <w:pPr>
        <w:adjustRightInd w:val="0"/>
        <w:snapToGrid w:val="0"/>
        <w:spacing w:line="360" w:lineRule="auto"/>
        <w:ind w:firstLine="480" w:firstLineChars="200"/>
        <w:rPr>
          <w:sz w:val="24"/>
          <w:szCs w:val="24"/>
        </w:rPr>
      </w:pPr>
      <w:r>
        <w:rPr>
          <w:rFonts w:hint="eastAsia"/>
          <w:sz w:val="24"/>
          <w:szCs w:val="24"/>
        </w:rPr>
        <w:t>企业位于浙江省杭州市临平区临平街道宏达路120号，根据杭州市生态环境局关于印发《杭州市生态环境分区管控动态更新方案》的通知（杭环发〔2024〕49号）中附件1《杭州市生态环境分区管控动态更新方案》，本项目位于“临平区杭州临平经济技术开发区产业集聚重点管控单元（原临平区杭州余杭经济技术开发区产业集聚重点管控单元）ZH33011320002”内</w:t>
      </w:r>
      <w:r>
        <w:rPr>
          <w:sz w:val="24"/>
          <w:szCs w:val="24"/>
        </w:rPr>
        <w:t>。本项目</w:t>
      </w:r>
      <w:r>
        <w:rPr>
          <w:rFonts w:hint="eastAsia"/>
          <w:sz w:val="24"/>
          <w:szCs w:val="24"/>
        </w:rPr>
        <w:t>与《杭州市生态环境分区管控动态更新方案》中提出的“生态保护红线、环境质量底线、资源利用上线及环境管控单元分类准入清单”简称“三线一单”，</w:t>
      </w:r>
      <w:r>
        <w:rPr>
          <w:sz w:val="24"/>
          <w:szCs w:val="24"/>
        </w:rPr>
        <w:t>符合性分析如下：</w:t>
      </w:r>
    </w:p>
    <w:p w14:paraId="6AB4D397">
      <w:pPr>
        <w:numPr>
          <w:ilvl w:val="0"/>
          <w:numId w:val="21"/>
        </w:numPr>
        <w:adjustRightInd w:val="0"/>
        <w:snapToGrid w:val="0"/>
        <w:jc w:val="center"/>
        <w:rPr>
          <w:b/>
          <w:lang w:val="zh-CN"/>
        </w:rPr>
      </w:pPr>
      <w:r>
        <w:rPr>
          <w:b/>
          <w:lang w:val="zh-CN"/>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49AA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6263E3E">
            <w:pPr>
              <w:widowControl/>
              <w:adjustRightInd w:val="0"/>
              <w:snapToGrid w:val="0"/>
              <w:jc w:val="center"/>
              <w:rPr>
                <w:kern w:val="0"/>
                <w:sz w:val="18"/>
                <w:szCs w:val="18"/>
                <w:lang w:bidi="ar"/>
              </w:rPr>
            </w:pPr>
            <w:r>
              <w:rPr>
                <w:kern w:val="0"/>
                <w:sz w:val="18"/>
                <w:szCs w:val="18"/>
                <w:lang w:bidi="ar"/>
              </w:rPr>
              <w:t>三线一单</w:t>
            </w:r>
          </w:p>
        </w:tc>
        <w:tc>
          <w:tcPr>
            <w:tcW w:w="4189" w:type="dxa"/>
            <w:vAlign w:val="center"/>
          </w:tcPr>
          <w:p w14:paraId="742EAA0F">
            <w:pPr>
              <w:widowControl/>
              <w:adjustRightInd w:val="0"/>
              <w:snapToGrid w:val="0"/>
              <w:jc w:val="center"/>
              <w:rPr>
                <w:kern w:val="0"/>
                <w:sz w:val="18"/>
                <w:szCs w:val="18"/>
                <w:lang w:bidi="ar"/>
              </w:rPr>
            </w:pPr>
            <w:r>
              <w:rPr>
                <w:kern w:val="0"/>
                <w:sz w:val="18"/>
                <w:szCs w:val="18"/>
                <w:lang w:bidi="ar"/>
              </w:rPr>
              <w:t>有关要求</w:t>
            </w:r>
          </w:p>
        </w:tc>
        <w:tc>
          <w:tcPr>
            <w:tcW w:w="2694" w:type="dxa"/>
            <w:vAlign w:val="center"/>
          </w:tcPr>
          <w:p w14:paraId="3D3F03FA">
            <w:pPr>
              <w:widowControl/>
              <w:adjustRightInd w:val="0"/>
              <w:snapToGrid w:val="0"/>
              <w:jc w:val="center"/>
              <w:rPr>
                <w:kern w:val="0"/>
                <w:sz w:val="18"/>
                <w:szCs w:val="18"/>
                <w:lang w:bidi="ar"/>
              </w:rPr>
            </w:pPr>
            <w:r>
              <w:rPr>
                <w:kern w:val="0"/>
                <w:sz w:val="18"/>
                <w:szCs w:val="18"/>
                <w:lang w:bidi="ar"/>
              </w:rPr>
              <w:t>本项目情况</w:t>
            </w:r>
          </w:p>
        </w:tc>
        <w:tc>
          <w:tcPr>
            <w:tcW w:w="514" w:type="dxa"/>
            <w:vAlign w:val="center"/>
          </w:tcPr>
          <w:p w14:paraId="3588517B">
            <w:pPr>
              <w:widowControl/>
              <w:adjustRightInd w:val="0"/>
              <w:snapToGrid w:val="0"/>
              <w:jc w:val="center"/>
              <w:rPr>
                <w:kern w:val="0"/>
                <w:sz w:val="18"/>
                <w:szCs w:val="18"/>
                <w:lang w:bidi="ar"/>
              </w:rPr>
            </w:pPr>
            <w:r>
              <w:rPr>
                <w:kern w:val="0"/>
                <w:sz w:val="18"/>
                <w:szCs w:val="18"/>
                <w:lang w:bidi="ar"/>
              </w:rPr>
              <w:t>符合性</w:t>
            </w:r>
          </w:p>
        </w:tc>
      </w:tr>
      <w:tr w14:paraId="7130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52245EE">
            <w:pPr>
              <w:widowControl/>
              <w:adjustRightInd w:val="0"/>
              <w:snapToGrid w:val="0"/>
              <w:jc w:val="center"/>
              <w:rPr>
                <w:kern w:val="0"/>
                <w:sz w:val="18"/>
                <w:szCs w:val="18"/>
                <w:lang w:bidi="ar"/>
              </w:rPr>
            </w:pPr>
            <w:r>
              <w:rPr>
                <w:kern w:val="0"/>
                <w:sz w:val="18"/>
                <w:szCs w:val="18"/>
                <w:lang w:bidi="ar"/>
              </w:rPr>
              <w:t>生态保护红线</w:t>
            </w:r>
          </w:p>
        </w:tc>
        <w:tc>
          <w:tcPr>
            <w:tcW w:w="4189" w:type="dxa"/>
            <w:vAlign w:val="center"/>
          </w:tcPr>
          <w:p w14:paraId="7EE18DE1">
            <w:pPr>
              <w:widowControl/>
              <w:adjustRightInd w:val="0"/>
              <w:snapToGrid w:val="0"/>
              <w:jc w:val="center"/>
              <w:rPr>
                <w:kern w:val="0"/>
                <w:sz w:val="18"/>
                <w:szCs w:val="18"/>
                <w:lang w:bidi="ar"/>
              </w:rPr>
            </w:pPr>
            <w:r>
              <w:rPr>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2E0CE973">
            <w:pPr>
              <w:widowControl/>
              <w:adjustRightInd w:val="0"/>
              <w:snapToGrid w:val="0"/>
              <w:jc w:val="center"/>
              <w:rPr>
                <w:kern w:val="0"/>
                <w:sz w:val="18"/>
                <w:szCs w:val="18"/>
                <w:lang w:bidi="ar"/>
              </w:rPr>
            </w:pPr>
            <w:r>
              <w:rPr>
                <w:kern w:val="0"/>
                <w:sz w:val="18"/>
                <w:szCs w:val="18"/>
                <w:lang w:bidi="ar"/>
              </w:rPr>
              <w:t>根据</w:t>
            </w:r>
            <w:r>
              <w:rPr>
                <w:rFonts w:hint="eastAsia"/>
                <w:kern w:val="0"/>
                <w:sz w:val="18"/>
                <w:szCs w:val="18"/>
                <w:lang w:bidi="ar"/>
              </w:rPr>
              <w:t>临平区三区三线图</w:t>
            </w:r>
            <w:r>
              <w:rPr>
                <w:kern w:val="0"/>
                <w:sz w:val="18"/>
                <w:szCs w:val="18"/>
                <w:lang w:bidi="ar"/>
              </w:rPr>
              <w:t>，本项目不涉及生态保护红线。</w:t>
            </w:r>
          </w:p>
        </w:tc>
        <w:tc>
          <w:tcPr>
            <w:tcW w:w="514" w:type="dxa"/>
            <w:vAlign w:val="center"/>
          </w:tcPr>
          <w:p w14:paraId="4064AC3B">
            <w:pPr>
              <w:widowControl/>
              <w:adjustRightInd w:val="0"/>
              <w:snapToGrid w:val="0"/>
              <w:jc w:val="center"/>
              <w:rPr>
                <w:kern w:val="0"/>
                <w:sz w:val="18"/>
                <w:szCs w:val="18"/>
                <w:lang w:bidi="ar"/>
              </w:rPr>
            </w:pPr>
            <w:r>
              <w:rPr>
                <w:kern w:val="0"/>
                <w:sz w:val="18"/>
                <w:szCs w:val="18"/>
                <w:lang w:bidi="ar"/>
              </w:rPr>
              <w:t>符合</w:t>
            </w:r>
          </w:p>
        </w:tc>
      </w:tr>
      <w:tr w14:paraId="0FA9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5FC44DEB">
            <w:pPr>
              <w:widowControl/>
              <w:adjustRightInd w:val="0"/>
              <w:snapToGrid w:val="0"/>
              <w:jc w:val="center"/>
              <w:rPr>
                <w:kern w:val="0"/>
                <w:sz w:val="18"/>
                <w:szCs w:val="18"/>
                <w:lang w:bidi="ar"/>
              </w:rPr>
            </w:pPr>
            <w:r>
              <w:rPr>
                <w:kern w:val="0"/>
                <w:sz w:val="18"/>
                <w:szCs w:val="18"/>
                <w:lang w:bidi="ar"/>
              </w:rPr>
              <w:t>环境质量底线</w:t>
            </w:r>
          </w:p>
        </w:tc>
        <w:tc>
          <w:tcPr>
            <w:tcW w:w="443" w:type="dxa"/>
            <w:vAlign w:val="center"/>
          </w:tcPr>
          <w:p w14:paraId="08EE29D5">
            <w:pPr>
              <w:widowControl/>
              <w:adjustRightInd w:val="0"/>
              <w:snapToGrid w:val="0"/>
              <w:jc w:val="center"/>
              <w:rPr>
                <w:kern w:val="0"/>
                <w:sz w:val="18"/>
                <w:szCs w:val="18"/>
                <w:lang w:bidi="ar"/>
              </w:rPr>
            </w:pPr>
            <w:r>
              <w:rPr>
                <w:kern w:val="0"/>
                <w:sz w:val="18"/>
                <w:szCs w:val="18"/>
                <w:lang w:bidi="ar"/>
              </w:rPr>
              <w:t>大气环境质量底线目标</w:t>
            </w:r>
          </w:p>
        </w:tc>
        <w:tc>
          <w:tcPr>
            <w:tcW w:w="4189" w:type="dxa"/>
            <w:vAlign w:val="center"/>
          </w:tcPr>
          <w:p w14:paraId="33C794B7">
            <w:pPr>
              <w:widowControl/>
              <w:adjustRightInd w:val="0"/>
              <w:snapToGrid w:val="0"/>
              <w:jc w:val="center"/>
              <w:rPr>
                <w:kern w:val="0"/>
                <w:sz w:val="18"/>
                <w:szCs w:val="18"/>
                <w:lang w:bidi="ar"/>
              </w:rPr>
            </w:pPr>
            <w:r>
              <w:rPr>
                <w:rFonts w:hint="eastAsia"/>
                <w:kern w:val="0"/>
                <w:sz w:val="18"/>
                <w:szCs w:val="18"/>
                <w:lang w:bidi="ar"/>
              </w:rPr>
              <w:t>2025年，全面消除重污染天气，基本消除中度污染天气，力争O3浓度达到拐点，PM2.5年均浓度稳定控制在28微克/立方米以下，努力实现环境空气质量稳定全面达标。</w:t>
            </w:r>
          </w:p>
        </w:tc>
        <w:tc>
          <w:tcPr>
            <w:tcW w:w="2694" w:type="dxa"/>
            <w:vAlign w:val="center"/>
          </w:tcPr>
          <w:p w14:paraId="0AA0FD23">
            <w:pPr>
              <w:widowControl/>
              <w:adjustRightInd w:val="0"/>
              <w:snapToGrid w:val="0"/>
              <w:jc w:val="center"/>
              <w:rPr>
                <w:kern w:val="0"/>
                <w:sz w:val="18"/>
                <w:szCs w:val="18"/>
                <w:lang w:bidi="ar"/>
              </w:rPr>
            </w:pPr>
            <w:r>
              <w:rPr>
                <w:rFonts w:hint="eastAsia"/>
                <w:kern w:val="0"/>
                <w:sz w:val="18"/>
                <w:szCs w:val="18"/>
                <w:lang w:bidi="ar"/>
              </w:rPr>
              <w:t>根据《2023年杭州市临平区生态环境状况公报》，</w:t>
            </w:r>
            <w:r>
              <w:rPr>
                <w:kern w:val="0"/>
                <w:sz w:val="18"/>
                <w:szCs w:val="18"/>
                <w:lang w:bidi="ar"/>
              </w:rPr>
              <w:t>项目所在区域为</w:t>
            </w:r>
            <w:r>
              <w:rPr>
                <w:kern w:val="0"/>
                <w:sz w:val="18"/>
                <w:szCs w:val="18"/>
                <w:lang w:eastAsia="ko-KR" w:bidi="ar"/>
              </w:rPr>
              <w:t>环境空气</w:t>
            </w:r>
            <w:r>
              <w:rPr>
                <w:rFonts w:hint="eastAsia"/>
                <w:kern w:val="0"/>
                <w:sz w:val="18"/>
                <w:szCs w:val="18"/>
                <w:lang w:bidi="ar"/>
              </w:rPr>
              <w:t>质量</w:t>
            </w:r>
            <w:r>
              <w:rPr>
                <w:kern w:val="0"/>
                <w:sz w:val="18"/>
                <w:szCs w:val="18"/>
                <w:lang w:bidi="ar"/>
              </w:rPr>
              <w:t>不达标区域，</w:t>
            </w:r>
            <w:r>
              <w:rPr>
                <w:rFonts w:hint="eastAsia"/>
                <w:kern w:val="0"/>
                <w:sz w:val="18"/>
                <w:szCs w:val="18"/>
                <w:lang w:bidi="ar"/>
              </w:rPr>
              <w:t>超标因子</w:t>
            </w:r>
            <w:r>
              <w:rPr>
                <w:kern w:val="0"/>
                <w:sz w:val="18"/>
                <w:szCs w:val="18"/>
                <w:lang w:bidi="ar"/>
              </w:rPr>
              <w:t>为</w:t>
            </w:r>
            <w:r>
              <w:rPr>
                <w:rFonts w:hint="eastAsia"/>
                <w:kern w:val="0"/>
                <w:sz w:val="18"/>
                <w:szCs w:val="18"/>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kern w:val="0"/>
                <w:sz w:val="18"/>
                <w:szCs w:val="18"/>
                <w:vertAlign w:val="subscript"/>
                <w:lang w:bidi="ar"/>
              </w:rPr>
              <w:t>2.5</w:t>
            </w:r>
            <w:r>
              <w:rPr>
                <w:rFonts w:hint="eastAsia"/>
                <w:kern w:val="0"/>
                <w:sz w:val="18"/>
                <w:szCs w:val="18"/>
                <w:lang w:bidi="ar"/>
              </w:rPr>
              <w:t>和O</w:t>
            </w:r>
            <w:r>
              <w:rPr>
                <w:rFonts w:hint="eastAsia"/>
                <w:kern w:val="0"/>
                <w:sz w:val="18"/>
                <w:szCs w:val="18"/>
                <w:vertAlign w:val="subscript"/>
                <w:lang w:bidi="ar"/>
              </w:rPr>
              <w:t>3</w:t>
            </w:r>
            <w:r>
              <w:rPr>
                <w:rFonts w:hint="eastAsia"/>
                <w:kern w:val="0"/>
                <w:sz w:val="18"/>
                <w:szCs w:val="18"/>
                <w:lang w:bidi="ar"/>
              </w:rPr>
              <w:t>协同控制为主线，强化大气多污染物协同控制和区域协同治理，抓好VOCs和NOx协同减排，推进空气质量全面达标。</w:t>
            </w:r>
          </w:p>
        </w:tc>
        <w:tc>
          <w:tcPr>
            <w:tcW w:w="514" w:type="dxa"/>
            <w:vAlign w:val="center"/>
          </w:tcPr>
          <w:p w14:paraId="5D1BD439">
            <w:pPr>
              <w:widowControl/>
              <w:adjustRightInd w:val="0"/>
              <w:snapToGrid w:val="0"/>
              <w:jc w:val="center"/>
              <w:rPr>
                <w:kern w:val="0"/>
                <w:sz w:val="18"/>
                <w:szCs w:val="18"/>
                <w:lang w:bidi="ar"/>
              </w:rPr>
            </w:pPr>
            <w:r>
              <w:rPr>
                <w:kern w:val="0"/>
                <w:sz w:val="18"/>
                <w:szCs w:val="18"/>
                <w:lang w:bidi="ar"/>
              </w:rPr>
              <w:t>符合</w:t>
            </w:r>
          </w:p>
        </w:tc>
      </w:tr>
      <w:tr w14:paraId="45F7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0815B83">
            <w:pPr>
              <w:widowControl/>
              <w:adjustRightInd w:val="0"/>
              <w:snapToGrid w:val="0"/>
              <w:jc w:val="center"/>
              <w:rPr>
                <w:kern w:val="0"/>
                <w:sz w:val="18"/>
                <w:szCs w:val="18"/>
                <w:lang w:bidi="ar"/>
              </w:rPr>
            </w:pPr>
          </w:p>
        </w:tc>
        <w:tc>
          <w:tcPr>
            <w:tcW w:w="443" w:type="dxa"/>
            <w:vAlign w:val="center"/>
          </w:tcPr>
          <w:p w14:paraId="2DA0A8B4">
            <w:pPr>
              <w:widowControl/>
              <w:adjustRightInd w:val="0"/>
              <w:snapToGrid w:val="0"/>
              <w:jc w:val="center"/>
              <w:rPr>
                <w:kern w:val="0"/>
                <w:sz w:val="18"/>
                <w:szCs w:val="18"/>
                <w:lang w:bidi="ar"/>
              </w:rPr>
            </w:pPr>
            <w:r>
              <w:rPr>
                <w:kern w:val="0"/>
                <w:sz w:val="18"/>
                <w:szCs w:val="18"/>
                <w:lang w:bidi="ar"/>
              </w:rPr>
              <w:t>水环境质量底线目标</w:t>
            </w:r>
          </w:p>
        </w:tc>
        <w:tc>
          <w:tcPr>
            <w:tcW w:w="4189" w:type="dxa"/>
            <w:vAlign w:val="center"/>
          </w:tcPr>
          <w:p w14:paraId="0774BB77">
            <w:pPr>
              <w:widowControl/>
              <w:adjustRightInd w:val="0"/>
              <w:snapToGrid w:val="0"/>
              <w:jc w:val="center"/>
              <w:rPr>
                <w:kern w:val="0"/>
                <w:sz w:val="18"/>
                <w:szCs w:val="18"/>
                <w:lang w:bidi="ar"/>
              </w:rPr>
            </w:pPr>
            <w:r>
              <w:rPr>
                <w:rFonts w:hint="eastAsia"/>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24486EF1">
            <w:pPr>
              <w:widowControl/>
              <w:adjustRightInd w:val="0"/>
              <w:snapToGrid w:val="0"/>
              <w:jc w:val="center"/>
              <w:rPr>
                <w:kern w:val="0"/>
                <w:sz w:val="18"/>
                <w:szCs w:val="18"/>
                <w:lang w:bidi="ar"/>
              </w:rPr>
            </w:pPr>
            <w:r>
              <w:rPr>
                <w:rFonts w:hint="eastAsia"/>
                <w:kern w:val="0"/>
                <w:sz w:val="18"/>
                <w:szCs w:val="18"/>
                <w:lang w:bidi="ar"/>
              </w:rPr>
              <w:t>根据《2023年杭州市临平区生态环境状况公报》，临平区运河流域塘栖大桥、武林头、五杭运河大桥、博陆-桐乡，上塘河流域保障桥、星桥等8个区控以上断面水质功能区达标率为100%；Ⅲ类水比例为100%，项目</w:t>
            </w:r>
            <w:r>
              <w:rPr>
                <w:kern w:val="0"/>
                <w:sz w:val="18"/>
                <w:szCs w:val="18"/>
                <w:lang w:bidi="ar"/>
              </w:rPr>
              <w:t>周边地表水及纳污水体</w:t>
            </w:r>
            <w:r>
              <w:rPr>
                <w:rFonts w:hint="eastAsia"/>
                <w:kern w:val="0"/>
                <w:sz w:val="18"/>
                <w:szCs w:val="18"/>
                <w:lang w:bidi="ar"/>
              </w:rPr>
              <w:t>水质可</w:t>
            </w:r>
            <w:r>
              <w:rPr>
                <w:kern w:val="0"/>
                <w:sz w:val="18"/>
                <w:szCs w:val="18"/>
                <w:lang w:bidi="ar"/>
              </w:rPr>
              <w:t>满足相应</w:t>
            </w:r>
            <w:r>
              <w:rPr>
                <w:rFonts w:hint="eastAsia"/>
                <w:kern w:val="0"/>
                <w:sz w:val="18"/>
                <w:szCs w:val="18"/>
                <w:lang w:bidi="ar"/>
              </w:rPr>
              <w:t>标准</w:t>
            </w:r>
            <w:r>
              <w:rPr>
                <w:kern w:val="0"/>
                <w:sz w:val="18"/>
                <w:szCs w:val="18"/>
                <w:lang w:bidi="ar"/>
              </w:rPr>
              <w:t>要求。</w:t>
            </w:r>
            <w:r>
              <w:rPr>
                <w:rFonts w:hint="eastAsia"/>
                <w:kern w:val="0"/>
                <w:sz w:val="18"/>
                <w:szCs w:val="18"/>
                <w:lang w:bidi="ar"/>
              </w:rPr>
              <w:t>本项目生活污水</w:t>
            </w:r>
            <w:r>
              <w:rPr>
                <w:kern w:val="0"/>
                <w:sz w:val="18"/>
                <w:szCs w:val="18"/>
                <w:lang w:bidi="ar"/>
              </w:rPr>
              <w:t>经预处理后纳管排放，不会突破水环境质量底线</w:t>
            </w:r>
            <w:r>
              <w:rPr>
                <w:rFonts w:hint="eastAsia"/>
                <w:kern w:val="0"/>
                <w:sz w:val="18"/>
                <w:szCs w:val="18"/>
                <w:lang w:bidi="ar"/>
              </w:rPr>
              <w:t>。</w:t>
            </w:r>
          </w:p>
        </w:tc>
        <w:tc>
          <w:tcPr>
            <w:tcW w:w="514" w:type="dxa"/>
            <w:vAlign w:val="center"/>
          </w:tcPr>
          <w:p w14:paraId="09D4DB8F">
            <w:pPr>
              <w:widowControl/>
              <w:adjustRightInd w:val="0"/>
              <w:snapToGrid w:val="0"/>
              <w:jc w:val="center"/>
              <w:rPr>
                <w:kern w:val="0"/>
                <w:sz w:val="18"/>
                <w:szCs w:val="18"/>
                <w:lang w:bidi="ar"/>
              </w:rPr>
            </w:pPr>
            <w:r>
              <w:rPr>
                <w:kern w:val="0"/>
                <w:sz w:val="18"/>
                <w:szCs w:val="18"/>
                <w:lang w:bidi="ar"/>
              </w:rPr>
              <w:t>符合</w:t>
            </w:r>
          </w:p>
        </w:tc>
      </w:tr>
      <w:tr w14:paraId="4B16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D6B5269">
            <w:pPr>
              <w:widowControl/>
              <w:adjustRightInd w:val="0"/>
              <w:snapToGrid w:val="0"/>
              <w:jc w:val="center"/>
              <w:rPr>
                <w:kern w:val="0"/>
                <w:sz w:val="18"/>
                <w:szCs w:val="18"/>
                <w:lang w:bidi="ar"/>
              </w:rPr>
            </w:pPr>
          </w:p>
        </w:tc>
        <w:tc>
          <w:tcPr>
            <w:tcW w:w="443" w:type="dxa"/>
            <w:vAlign w:val="center"/>
          </w:tcPr>
          <w:p w14:paraId="29456E4C">
            <w:pPr>
              <w:widowControl/>
              <w:adjustRightInd w:val="0"/>
              <w:snapToGrid w:val="0"/>
              <w:jc w:val="center"/>
              <w:rPr>
                <w:kern w:val="0"/>
                <w:sz w:val="18"/>
                <w:szCs w:val="18"/>
                <w:lang w:bidi="ar"/>
              </w:rPr>
            </w:pPr>
            <w:r>
              <w:rPr>
                <w:kern w:val="0"/>
                <w:sz w:val="18"/>
                <w:szCs w:val="18"/>
                <w:lang w:bidi="ar"/>
              </w:rPr>
              <w:t>土壤环境风险防控底线目标</w:t>
            </w:r>
          </w:p>
        </w:tc>
        <w:tc>
          <w:tcPr>
            <w:tcW w:w="4189" w:type="dxa"/>
            <w:vAlign w:val="center"/>
          </w:tcPr>
          <w:p w14:paraId="67A51F84">
            <w:pPr>
              <w:widowControl/>
              <w:adjustRightInd w:val="0"/>
              <w:snapToGrid w:val="0"/>
              <w:jc w:val="center"/>
              <w:rPr>
                <w:kern w:val="0"/>
                <w:sz w:val="18"/>
                <w:szCs w:val="18"/>
                <w:lang w:bidi="ar"/>
              </w:rPr>
            </w:pPr>
            <w:r>
              <w:rPr>
                <w:rFonts w:hint="eastAsia"/>
                <w:kern w:val="0"/>
                <w:sz w:val="18"/>
                <w:szCs w:val="18"/>
                <w:lang w:bidi="ar"/>
              </w:rPr>
              <w:t>2025 年，土壤环境质量稳中向好，受污染耕地安全利用率达到省下达目标，重点建设用地安全利用率达到 97%以上。</w:t>
            </w:r>
          </w:p>
        </w:tc>
        <w:tc>
          <w:tcPr>
            <w:tcW w:w="2694" w:type="dxa"/>
            <w:vAlign w:val="center"/>
          </w:tcPr>
          <w:p w14:paraId="44B6F6DA">
            <w:pPr>
              <w:widowControl/>
              <w:adjustRightInd w:val="0"/>
              <w:snapToGrid w:val="0"/>
              <w:jc w:val="center"/>
              <w:rPr>
                <w:kern w:val="0"/>
                <w:sz w:val="18"/>
                <w:szCs w:val="18"/>
                <w:lang w:bidi="ar"/>
              </w:rPr>
            </w:pPr>
            <w:r>
              <w:rPr>
                <w:kern w:val="0"/>
                <w:sz w:val="18"/>
                <w:szCs w:val="18"/>
                <w:lang w:bidi="ar"/>
              </w:rPr>
              <w:t>车间内地面</w:t>
            </w:r>
            <w:r>
              <w:rPr>
                <w:rFonts w:hint="eastAsia"/>
                <w:kern w:val="0"/>
                <w:sz w:val="18"/>
                <w:szCs w:val="18"/>
                <w:lang w:bidi="ar"/>
              </w:rPr>
              <w:t>采取必要的</w:t>
            </w:r>
            <w:r>
              <w:rPr>
                <w:kern w:val="0"/>
                <w:sz w:val="18"/>
                <w:szCs w:val="18"/>
                <w:lang w:bidi="ar"/>
              </w:rPr>
              <w:t>防腐防渗</w:t>
            </w:r>
            <w:r>
              <w:rPr>
                <w:rFonts w:hint="eastAsia"/>
                <w:kern w:val="0"/>
                <w:sz w:val="18"/>
                <w:szCs w:val="18"/>
                <w:lang w:bidi="ar"/>
              </w:rPr>
              <w:t>措施</w:t>
            </w:r>
            <w:r>
              <w:rPr>
                <w:kern w:val="0"/>
                <w:sz w:val="18"/>
                <w:szCs w:val="18"/>
                <w:lang w:bidi="ar"/>
              </w:rPr>
              <w:t>，</w:t>
            </w:r>
            <w:r>
              <w:rPr>
                <w:rFonts w:hint="eastAsia"/>
                <w:kern w:val="0"/>
                <w:sz w:val="18"/>
                <w:szCs w:val="18"/>
                <w:lang w:bidi="ar"/>
              </w:rPr>
              <w:t>土壤</w:t>
            </w:r>
            <w:r>
              <w:rPr>
                <w:kern w:val="0"/>
                <w:sz w:val="18"/>
                <w:szCs w:val="18"/>
                <w:lang w:bidi="ar"/>
              </w:rPr>
              <w:t>环境污染风险可控，不会突破土壤环境质量底线。</w:t>
            </w:r>
          </w:p>
        </w:tc>
        <w:tc>
          <w:tcPr>
            <w:tcW w:w="514" w:type="dxa"/>
            <w:vAlign w:val="center"/>
          </w:tcPr>
          <w:p w14:paraId="3A28D240">
            <w:pPr>
              <w:widowControl/>
              <w:adjustRightInd w:val="0"/>
              <w:snapToGrid w:val="0"/>
              <w:jc w:val="center"/>
              <w:rPr>
                <w:kern w:val="0"/>
                <w:sz w:val="18"/>
                <w:szCs w:val="18"/>
                <w:lang w:bidi="ar"/>
              </w:rPr>
            </w:pPr>
            <w:r>
              <w:rPr>
                <w:kern w:val="0"/>
                <w:sz w:val="18"/>
                <w:szCs w:val="18"/>
                <w:lang w:bidi="ar"/>
              </w:rPr>
              <w:t>符合</w:t>
            </w:r>
          </w:p>
        </w:tc>
      </w:tr>
      <w:tr w14:paraId="7528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42A6CC6F">
            <w:pPr>
              <w:widowControl/>
              <w:adjustRightInd w:val="0"/>
              <w:snapToGrid w:val="0"/>
              <w:jc w:val="center"/>
              <w:rPr>
                <w:kern w:val="0"/>
                <w:sz w:val="18"/>
                <w:szCs w:val="18"/>
                <w:lang w:bidi="ar"/>
              </w:rPr>
            </w:pPr>
            <w:r>
              <w:rPr>
                <w:kern w:val="0"/>
                <w:sz w:val="18"/>
                <w:szCs w:val="18"/>
                <w:lang w:bidi="ar"/>
              </w:rPr>
              <w:t>资源利用上线</w:t>
            </w:r>
          </w:p>
        </w:tc>
        <w:tc>
          <w:tcPr>
            <w:tcW w:w="443" w:type="dxa"/>
            <w:vAlign w:val="center"/>
          </w:tcPr>
          <w:p w14:paraId="13FD855C">
            <w:pPr>
              <w:widowControl/>
              <w:adjustRightInd w:val="0"/>
              <w:snapToGrid w:val="0"/>
              <w:jc w:val="center"/>
              <w:rPr>
                <w:kern w:val="0"/>
                <w:sz w:val="18"/>
                <w:szCs w:val="18"/>
                <w:lang w:bidi="ar"/>
              </w:rPr>
            </w:pPr>
            <w:r>
              <w:rPr>
                <w:kern w:val="0"/>
                <w:sz w:val="18"/>
                <w:szCs w:val="18"/>
                <w:lang w:bidi="ar"/>
              </w:rPr>
              <w:t>能源（煤炭）资源上线目标</w:t>
            </w:r>
          </w:p>
        </w:tc>
        <w:tc>
          <w:tcPr>
            <w:tcW w:w="4189" w:type="dxa"/>
            <w:vAlign w:val="center"/>
          </w:tcPr>
          <w:p w14:paraId="7FF1D563">
            <w:pPr>
              <w:widowControl/>
              <w:adjustRightInd w:val="0"/>
              <w:snapToGrid w:val="0"/>
              <w:jc w:val="center"/>
              <w:rPr>
                <w:kern w:val="0"/>
                <w:sz w:val="18"/>
                <w:szCs w:val="18"/>
                <w:lang w:bidi="ar"/>
              </w:rPr>
            </w:pPr>
            <w:r>
              <w:rPr>
                <w:kern w:val="0"/>
                <w:sz w:val="18"/>
                <w:szCs w:val="18"/>
                <w:lang w:bidi="ar"/>
              </w:rPr>
              <w:t xml:space="preserve">通过一手抓能源供应保障，一手抓能源结构优化，到 2025年实现“三保两降两升”的主要发展目标。 </w:t>
            </w:r>
          </w:p>
          <w:p w14:paraId="7B94354A">
            <w:pPr>
              <w:widowControl/>
              <w:adjustRightInd w:val="0"/>
              <w:snapToGrid w:val="0"/>
              <w:jc w:val="center"/>
              <w:rPr>
                <w:kern w:val="0"/>
                <w:sz w:val="18"/>
                <w:szCs w:val="18"/>
                <w:lang w:bidi="ar"/>
              </w:rPr>
            </w:pPr>
            <w:r>
              <w:rPr>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7FCD61AC">
            <w:pPr>
              <w:widowControl/>
              <w:adjustRightInd w:val="0"/>
              <w:snapToGrid w:val="0"/>
              <w:jc w:val="center"/>
              <w:rPr>
                <w:kern w:val="0"/>
                <w:sz w:val="18"/>
                <w:szCs w:val="18"/>
                <w:lang w:bidi="ar"/>
              </w:rPr>
            </w:pPr>
            <w:r>
              <w:rPr>
                <w:kern w:val="0"/>
                <w:sz w:val="18"/>
                <w:szCs w:val="18"/>
                <w:lang w:bidi="ar"/>
              </w:rPr>
              <w:t xml:space="preserve">——“两降”：即单位 GDP 能耗、煤炭消费量进一步下降。“十四五”期间，全市单位 GDP 能耗累计降幅不低于 15%，煤炭消费下降目标达到省要求。 </w:t>
            </w:r>
          </w:p>
          <w:p w14:paraId="05290530">
            <w:pPr>
              <w:widowControl/>
              <w:adjustRightInd w:val="0"/>
              <w:snapToGrid w:val="0"/>
              <w:jc w:val="center"/>
              <w:rPr>
                <w:kern w:val="0"/>
                <w:sz w:val="18"/>
                <w:szCs w:val="18"/>
                <w:lang w:bidi="ar"/>
              </w:rPr>
            </w:pPr>
            <w:r>
              <w:rPr>
                <w:kern w:val="0"/>
                <w:sz w:val="18"/>
                <w:szCs w:val="18"/>
                <w:lang w:bidi="ar"/>
              </w:rPr>
              <w:t xml:space="preserve">——“两升”：即清洁能源占比、非化石能源占比进一步提升。到 2025 年，全市清洁能源占比不低于 68%，非化石能源占比不低于 20%。 </w:t>
            </w:r>
          </w:p>
        </w:tc>
        <w:tc>
          <w:tcPr>
            <w:tcW w:w="2694" w:type="dxa"/>
            <w:vAlign w:val="center"/>
          </w:tcPr>
          <w:p w14:paraId="11B8C61A">
            <w:pPr>
              <w:widowControl/>
              <w:adjustRightInd w:val="0"/>
              <w:snapToGrid w:val="0"/>
              <w:jc w:val="center"/>
              <w:rPr>
                <w:kern w:val="0"/>
                <w:sz w:val="18"/>
                <w:szCs w:val="18"/>
                <w:lang w:bidi="ar"/>
              </w:rPr>
            </w:pPr>
            <w:r>
              <w:rPr>
                <w:kern w:val="0"/>
                <w:sz w:val="18"/>
                <w:szCs w:val="18"/>
                <w:lang w:bidi="ar"/>
              </w:rPr>
              <w:t>本项目所需能源为电</w:t>
            </w:r>
            <w:r>
              <w:rPr>
                <w:rFonts w:hint="eastAsia"/>
                <w:kern w:val="0"/>
                <w:sz w:val="18"/>
                <w:szCs w:val="18"/>
                <w:lang w:bidi="ar"/>
              </w:rPr>
              <w:t>、天然气</w:t>
            </w:r>
            <w:r>
              <w:rPr>
                <w:kern w:val="0"/>
                <w:sz w:val="18"/>
                <w:szCs w:val="18"/>
                <w:lang w:bidi="ar"/>
              </w:rPr>
              <w:t>，用量不大，不会突破区域能源利用上线。</w:t>
            </w:r>
          </w:p>
        </w:tc>
        <w:tc>
          <w:tcPr>
            <w:tcW w:w="514" w:type="dxa"/>
            <w:vAlign w:val="center"/>
          </w:tcPr>
          <w:p w14:paraId="789487BE">
            <w:pPr>
              <w:widowControl/>
              <w:adjustRightInd w:val="0"/>
              <w:snapToGrid w:val="0"/>
              <w:jc w:val="center"/>
              <w:rPr>
                <w:kern w:val="0"/>
                <w:sz w:val="18"/>
                <w:szCs w:val="18"/>
                <w:lang w:bidi="ar"/>
              </w:rPr>
            </w:pPr>
            <w:r>
              <w:rPr>
                <w:kern w:val="0"/>
                <w:sz w:val="18"/>
                <w:szCs w:val="18"/>
                <w:lang w:bidi="ar"/>
              </w:rPr>
              <w:t>符合</w:t>
            </w:r>
          </w:p>
        </w:tc>
      </w:tr>
      <w:tr w14:paraId="5E78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2D29450B">
            <w:pPr>
              <w:widowControl/>
              <w:adjustRightInd w:val="0"/>
              <w:snapToGrid w:val="0"/>
              <w:jc w:val="center"/>
              <w:rPr>
                <w:kern w:val="0"/>
                <w:sz w:val="18"/>
                <w:szCs w:val="18"/>
                <w:lang w:bidi="ar"/>
              </w:rPr>
            </w:pPr>
          </w:p>
        </w:tc>
        <w:tc>
          <w:tcPr>
            <w:tcW w:w="443" w:type="dxa"/>
            <w:vAlign w:val="center"/>
          </w:tcPr>
          <w:p w14:paraId="234A9063">
            <w:pPr>
              <w:widowControl/>
              <w:adjustRightInd w:val="0"/>
              <w:snapToGrid w:val="0"/>
              <w:jc w:val="center"/>
              <w:rPr>
                <w:kern w:val="0"/>
                <w:sz w:val="18"/>
                <w:szCs w:val="18"/>
                <w:lang w:bidi="ar"/>
              </w:rPr>
            </w:pPr>
            <w:r>
              <w:rPr>
                <w:kern w:val="0"/>
                <w:sz w:val="18"/>
                <w:szCs w:val="18"/>
                <w:lang w:bidi="ar"/>
              </w:rPr>
              <w:t>水资源利用上线目标</w:t>
            </w:r>
          </w:p>
        </w:tc>
        <w:tc>
          <w:tcPr>
            <w:tcW w:w="4189" w:type="dxa"/>
            <w:vAlign w:val="center"/>
          </w:tcPr>
          <w:p w14:paraId="7E91F430">
            <w:pPr>
              <w:widowControl/>
              <w:adjustRightInd w:val="0"/>
              <w:snapToGrid w:val="0"/>
              <w:jc w:val="center"/>
              <w:rPr>
                <w:kern w:val="0"/>
                <w:sz w:val="18"/>
                <w:szCs w:val="18"/>
                <w:lang w:bidi="ar"/>
              </w:rPr>
            </w:pPr>
            <w:r>
              <w:rPr>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051C78E">
            <w:pPr>
              <w:widowControl/>
              <w:adjustRightInd w:val="0"/>
              <w:snapToGrid w:val="0"/>
              <w:jc w:val="center"/>
              <w:rPr>
                <w:kern w:val="0"/>
                <w:sz w:val="18"/>
                <w:szCs w:val="18"/>
                <w:lang w:bidi="ar"/>
              </w:rPr>
            </w:pPr>
            <w:r>
              <w:rPr>
                <w:kern w:val="0"/>
                <w:sz w:val="18"/>
                <w:szCs w:val="18"/>
                <w:lang w:bidi="ar"/>
              </w:rPr>
              <w:t>本项目用水量</w:t>
            </w:r>
            <w:r>
              <w:rPr>
                <w:rFonts w:hint="eastAsia"/>
                <w:kern w:val="0"/>
                <w:sz w:val="18"/>
                <w:szCs w:val="18"/>
                <w:lang w:bidi="ar"/>
              </w:rPr>
              <w:t>较小</w:t>
            </w:r>
            <w:r>
              <w:rPr>
                <w:kern w:val="0"/>
                <w:sz w:val="18"/>
                <w:szCs w:val="18"/>
                <w:lang w:bidi="ar"/>
              </w:rPr>
              <w:t>不会突破区域水资源利用上线。</w:t>
            </w:r>
          </w:p>
        </w:tc>
        <w:tc>
          <w:tcPr>
            <w:tcW w:w="514" w:type="dxa"/>
            <w:vAlign w:val="center"/>
          </w:tcPr>
          <w:p w14:paraId="1C615EA4">
            <w:pPr>
              <w:widowControl/>
              <w:adjustRightInd w:val="0"/>
              <w:snapToGrid w:val="0"/>
              <w:jc w:val="center"/>
              <w:rPr>
                <w:kern w:val="0"/>
                <w:sz w:val="18"/>
                <w:szCs w:val="18"/>
                <w:lang w:bidi="ar"/>
              </w:rPr>
            </w:pPr>
            <w:r>
              <w:rPr>
                <w:kern w:val="0"/>
                <w:sz w:val="18"/>
                <w:szCs w:val="18"/>
                <w:lang w:bidi="ar"/>
              </w:rPr>
              <w:t>符合</w:t>
            </w:r>
          </w:p>
        </w:tc>
      </w:tr>
      <w:tr w14:paraId="5B85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F160B93">
            <w:pPr>
              <w:widowControl/>
              <w:adjustRightInd w:val="0"/>
              <w:snapToGrid w:val="0"/>
              <w:jc w:val="center"/>
              <w:rPr>
                <w:kern w:val="0"/>
                <w:sz w:val="18"/>
                <w:szCs w:val="18"/>
                <w:lang w:bidi="ar"/>
              </w:rPr>
            </w:pPr>
          </w:p>
        </w:tc>
        <w:tc>
          <w:tcPr>
            <w:tcW w:w="443" w:type="dxa"/>
            <w:vAlign w:val="center"/>
          </w:tcPr>
          <w:p w14:paraId="1BC6DC6C">
            <w:pPr>
              <w:widowControl/>
              <w:adjustRightInd w:val="0"/>
              <w:snapToGrid w:val="0"/>
              <w:jc w:val="center"/>
              <w:rPr>
                <w:kern w:val="0"/>
                <w:sz w:val="18"/>
                <w:szCs w:val="18"/>
                <w:lang w:bidi="ar"/>
              </w:rPr>
            </w:pPr>
            <w:r>
              <w:rPr>
                <w:kern w:val="0"/>
                <w:sz w:val="18"/>
                <w:szCs w:val="18"/>
                <w:lang w:bidi="ar"/>
              </w:rPr>
              <w:t>土地资源利用上线目标</w:t>
            </w:r>
          </w:p>
        </w:tc>
        <w:tc>
          <w:tcPr>
            <w:tcW w:w="4189" w:type="dxa"/>
            <w:vAlign w:val="center"/>
          </w:tcPr>
          <w:p w14:paraId="3702E2CB">
            <w:pPr>
              <w:widowControl/>
              <w:adjustRightInd w:val="0"/>
              <w:snapToGrid w:val="0"/>
              <w:jc w:val="center"/>
              <w:rPr>
                <w:kern w:val="0"/>
                <w:sz w:val="18"/>
                <w:szCs w:val="18"/>
                <w:lang w:bidi="ar"/>
              </w:rPr>
            </w:pPr>
            <w:r>
              <w:rPr>
                <w:rFonts w:hint="eastAsia"/>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kern w:val="0"/>
                <w:sz w:val="18"/>
                <w:szCs w:val="18"/>
                <w:lang w:bidi="ar"/>
              </w:rPr>
              <w:t>。</w:t>
            </w:r>
          </w:p>
        </w:tc>
        <w:tc>
          <w:tcPr>
            <w:tcW w:w="2694" w:type="dxa"/>
            <w:vAlign w:val="center"/>
          </w:tcPr>
          <w:p w14:paraId="04C34B22">
            <w:pPr>
              <w:widowControl/>
              <w:adjustRightInd w:val="0"/>
              <w:snapToGrid w:val="0"/>
              <w:jc w:val="center"/>
              <w:rPr>
                <w:kern w:val="0"/>
                <w:sz w:val="18"/>
                <w:szCs w:val="18"/>
                <w:lang w:bidi="ar"/>
              </w:rPr>
            </w:pPr>
            <w:r>
              <w:rPr>
                <w:kern w:val="0"/>
                <w:sz w:val="18"/>
                <w:szCs w:val="18"/>
                <w:lang w:bidi="ar"/>
              </w:rPr>
              <w:t>项目位于</w:t>
            </w:r>
            <w:r>
              <w:rPr>
                <w:rFonts w:hint="eastAsia"/>
                <w:kern w:val="0"/>
                <w:sz w:val="18"/>
                <w:szCs w:val="18"/>
                <w:lang w:bidi="ar"/>
              </w:rPr>
              <w:t>杭州市临平区经济技术开发区</w:t>
            </w:r>
            <w:r>
              <w:rPr>
                <w:kern w:val="0"/>
                <w:sz w:val="18"/>
                <w:szCs w:val="18"/>
                <w:lang w:bidi="ar"/>
              </w:rPr>
              <w:t>，</w:t>
            </w:r>
            <w:r>
              <w:rPr>
                <w:rFonts w:hint="eastAsia"/>
                <w:kern w:val="0"/>
                <w:sz w:val="18"/>
                <w:szCs w:val="18"/>
                <w:lang w:bidi="ar"/>
              </w:rPr>
              <w:t>用地性质为工业用地。</w:t>
            </w:r>
          </w:p>
          <w:p w14:paraId="53261278">
            <w:pPr>
              <w:widowControl/>
              <w:adjustRightInd w:val="0"/>
              <w:snapToGrid w:val="0"/>
              <w:jc w:val="center"/>
              <w:rPr>
                <w:kern w:val="0"/>
                <w:sz w:val="18"/>
                <w:szCs w:val="18"/>
                <w:lang w:bidi="ar"/>
              </w:rPr>
            </w:pPr>
            <w:r>
              <w:rPr>
                <w:rFonts w:hint="eastAsia"/>
                <w:kern w:val="0"/>
                <w:sz w:val="18"/>
                <w:szCs w:val="18"/>
                <w:lang w:bidi="ar"/>
              </w:rPr>
              <w:t>本项目在已建厂房内实施，无需新征用地</w:t>
            </w:r>
            <w:r>
              <w:rPr>
                <w:kern w:val="0"/>
                <w:sz w:val="18"/>
                <w:szCs w:val="18"/>
                <w:lang w:bidi="ar"/>
              </w:rPr>
              <w:t>。</w:t>
            </w:r>
          </w:p>
          <w:p w14:paraId="769F6B7E">
            <w:pPr>
              <w:widowControl/>
              <w:adjustRightInd w:val="0"/>
              <w:snapToGrid w:val="0"/>
              <w:jc w:val="center"/>
              <w:rPr>
                <w:kern w:val="0"/>
                <w:sz w:val="18"/>
                <w:szCs w:val="18"/>
                <w:lang w:bidi="ar"/>
              </w:rPr>
            </w:pPr>
            <w:r>
              <w:rPr>
                <w:rFonts w:hint="eastAsia"/>
                <w:kern w:val="0"/>
                <w:sz w:val="18"/>
                <w:szCs w:val="18"/>
                <w:lang w:bidi="ar"/>
              </w:rPr>
              <w:t>项目</w:t>
            </w:r>
            <w:r>
              <w:rPr>
                <w:kern w:val="0"/>
                <w:sz w:val="18"/>
                <w:szCs w:val="18"/>
                <w:lang w:bidi="ar"/>
              </w:rPr>
              <w:t>用地不会突破土地利用资源上线。</w:t>
            </w:r>
          </w:p>
        </w:tc>
        <w:tc>
          <w:tcPr>
            <w:tcW w:w="514" w:type="dxa"/>
            <w:vAlign w:val="center"/>
          </w:tcPr>
          <w:p w14:paraId="5CEBC22C">
            <w:pPr>
              <w:widowControl/>
              <w:adjustRightInd w:val="0"/>
              <w:snapToGrid w:val="0"/>
              <w:jc w:val="center"/>
              <w:rPr>
                <w:kern w:val="0"/>
                <w:sz w:val="18"/>
                <w:szCs w:val="18"/>
                <w:lang w:bidi="ar"/>
              </w:rPr>
            </w:pPr>
            <w:r>
              <w:rPr>
                <w:kern w:val="0"/>
                <w:sz w:val="18"/>
                <w:szCs w:val="18"/>
                <w:lang w:bidi="ar"/>
              </w:rPr>
              <w:t>符合</w:t>
            </w:r>
          </w:p>
        </w:tc>
      </w:tr>
      <w:tr w14:paraId="3646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9572149">
            <w:pPr>
              <w:widowControl/>
              <w:adjustRightInd w:val="0"/>
              <w:snapToGrid w:val="0"/>
              <w:jc w:val="center"/>
              <w:rPr>
                <w:kern w:val="0"/>
                <w:sz w:val="18"/>
                <w:szCs w:val="18"/>
                <w:lang w:bidi="ar"/>
              </w:rPr>
            </w:pPr>
            <w:r>
              <w:rPr>
                <w:kern w:val="0"/>
                <w:sz w:val="18"/>
                <w:szCs w:val="18"/>
                <w:lang w:bidi="ar"/>
              </w:rPr>
              <w:t>生态环境准入清单</w:t>
            </w:r>
          </w:p>
        </w:tc>
        <w:tc>
          <w:tcPr>
            <w:tcW w:w="6883" w:type="dxa"/>
            <w:gridSpan w:val="2"/>
            <w:vAlign w:val="center"/>
          </w:tcPr>
          <w:p w14:paraId="3EA4BD9E">
            <w:pPr>
              <w:widowControl/>
              <w:adjustRightInd w:val="0"/>
              <w:snapToGrid w:val="0"/>
              <w:jc w:val="center"/>
              <w:rPr>
                <w:kern w:val="0"/>
                <w:sz w:val="18"/>
                <w:szCs w:val="18"/>
                <w:lang w:bidi="ar"/>
              </w:rPr>
            </w:pPr>
            <w:r>
              <w:rPr>
                <w:kern w:val="0"/>
                <w:sz w:val="18"/>
                <w:szCs w:val="18"/>
                <w:lang w:bidi="ar"/>
              </w:rPr>
              <w:t>本项目位于</w:t>
            </w:r>
            <w:r>
              <w:rPr>
                <w:rFonts w:hint="eastAsia"/>
                <w:kern w:val="0"/>
                <w:sz w:val="18"/>
                <w:szCs w:val="18"/>
                <w:lang w:bidi="ar"/>
              </w:rPr>
              <w:t>“临平区杭州临平经济技术开发区产业集聚重点管控单元（原临平区杭州余杭经济技术开发区产业集聚重点管控单元）ZH33011320002”</w:t>
            </w:r>
            <w:r>
              <w:rPr>
                <w:kern w:val="0"/>
                <w:sz w:val="18"/>
                <w:szCs w:val="18"/>
                <w:lang w:bidi="ar"/>
              </w:rPr>
              <w:t>，符合环境管控单元准入清单要求，具体见</w:t>
            </w:r>
            <w:r>
              <w:rPr>
                <w:rFonts w:hint="eastAsia"/>
                <w:kern w:val="0"/>
                <w:sz w:val="18"/>
                <w:szCs w:val="18"/>
                <w:lang w:bidi="ar"/>
              </w:rPr>
              <w:t>下</w:t>
            </w:r>
            <w:r>
              <w:rPr>
                <w:kern w:val="0"/>
                <w:sz w:val="18"/>
                <w:szCs w:val="18"/>
                <w:lang w:bidi="ar"/>
              </w:rPr>
              <w:t>表。</w:t>
            </w:r>
          </w:p>
        </w:tc>
        <w:tc>
          <w:tcPr>
            <w:tcW w:w="514" w:type="dxa"/>
            <w:vAlign w:val="center"/>
          </w:tcPr>
          <w:p w14:paraId="510B36E8">
            <w:pPr>
              <w:widowControl/>
              <w:adjustRightInd w:val="0"/>
              <w:snapToGrid w:val="0"/>
              <w:jc w:val="center"/>
              <w:rPr>
                <w:kern w:val="0"/>
                <w:sz w:val="18"/>
                <w:szCs w:val="18"/>
                <w:lang w:bidi="ar"/>
              </w:rPr>
            </w:pPr>
            <w:r>
              <w:rPr>
                <w:kern w:val="0"/>
                <w:sz w:val="18"/>
                <w:szCs w:val="18"/>
                <w:lang w:bidi="ar"/>
              </w:rPr>
              <w:t>符合</w:t>
            </w:r>
          </w:p>
        </w:tc>
      </w:tr>
    </w:tbl>
    <w:p w14:paraId="3F38460A">
      <w:pPr>
        <w:numPr>
          <w:ilvl w:val="0"/>
          <w:numId w:val="21"/>
        </w:numPr>
        <w:adjustRightInd w:val="0"/>
        <w:snapToGrid w:val="0"/>
        <w:spacing w:line="360" w:lineRule="auto"/>
        <w:jc w:val="center"/>
        <w:rPr>
          <w:b/>
          <w:lang w:val="zh-CN"/>
        </w:rPr>
      </w:pPr>
      <w:r>
        <w:rPr>
          <w:rFonts w:hint="eastAsia"/>
          <w:b/>
          <w:lang w:val="zh-CN"/>
        </w:rPr>
        <w:t>环境管控单元分类准入清单</w:t>
      </w:r>
      <w:r>
        <w:rPr>
          <w:b/>
          <w:lang w:val="zh-CN"/>
        </w:rPr>
        <w:t>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6FB3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1" w:type="dxa"/>
            <w:gridSpan w:val="3"/>
            <w:vAlign w:val="center"/>
          </w:tcPr>
          <w:p w14:paraId="6CE3B6D6">
            <w:pPr>
              <w:widowControl/>
              <w:adjustRightInd w:val="0"/>
              <w:snapToGrid w:val="0"/>
              <w:jc w:val="center"/>
              <w:rPr>
                <w:kern w:val="0"/>
                <w:sz w:val="18"/>
                <w:szCs w:val="18"/>
                <w:lang w:bidi="ar"/>
              </w:rPr>
            </w:pPr>
            <w:r>
              <w:rPr>
                <w:kern w:val="0"/>
                <w:sz w:val="18"/>
                <w:szCs w:val="18"/>
                <w:lang w:bidi="ar"/>
              </w:rPr>
              <w:t>环境管控单元空间</w:t>
            </w:r>
          </w:p>
        </w:tc>
        <w:tc>
          <w:tcPr>
            <w:tcW w:w="2944" w:type="dxa"/>
            <w:gridSpan w:val="2"/>
            <w:vMerge w:val="restart"/>
            <w:vAlign w:val="center"/>
          </w:tcPr>
          <w:p w14:paraId="76EA1B56">
            <w:pPr>
              <w:widowControl/>
              <w:adjustRightInd w:val="0"/>
              <w:snapToGrid w:val="0"/>
              <w:jc w:val="center"/>
              <w:rPr>
                <w:kern w:val="0"/>
                <w:sz w:val="18"/>
                <w:szCs w:val="18"/>
                <w:lang w:bidi="ar"/>
              </w:rPr>
            </w:pPr>
            <w:r>
              <w:rPr>
                <w:kern w:val="0"/>
                <w:sz w:val="18"/>
                <w:szCs w:val="18"/>
                <w:lang w:bidi="ar"/>
              </w:rPr>
              <w:t>管控要求</w:t>
            </w:r>
          </w:p>
        </w:tc>
        <w:tc>
          <w:tcPr>
            <w:tcW w:w="2064" w:type="dxa"/>
            <w:vMerge w:val="restart"/>
            <w:vAlign w:val="center"/>
          </w:tcPr>
          <w:p w14:paraId="0E27AC27">
            <w:pPr>
              <w:widowControl/>
              <w:adjustRightInd w:val="0"/>
              <w:snapToGrid w:val="0"/>
              <w:jc w:val="center"/>
              <w:rPr>
                <w:kern w:val="0"/>
                <w:sz w:val="18"/>
                <w:szCs w:val="18"/>
                <w:lang w:bidi="ar"/>
              </w:rPr>
            </w:pPr>
            <w:r>
              <w:rPr>
                <w:kern w:val="0"/>
                <w:sz w:val="18"/>
                <w:szCs w:val="18"/>
                <w:lang w:bidi="ar"/>
              </w:rPr>
              <w:t>本项目情况</w:t>
            </w:r>
          </w:p>
        </w:tc>
        <w:tc>
          <w:tcPr>
            <w:tcW w:w="466" w:type="dxa"/>
            <w:vMerge w:val="restart"/>
            <w:vAlign w:val="center"/>
          </w:tcPr>
          <w:p w14:paraId="23041C07">
            <w:pPr>
              <w:widowControl/>
              <w:adjustRightInd w:val="0"/>
              <w:snapToGrid w:val="0"/>
              <w:jc w:val="center"/>
              <w:rPr>
                <w:kern w:val="0"/>
                <w:sz w:val="18"/>
                <w:szCs w:val="18"/>
                <w:lang w:bidi="ar"/>
              </w:rPr>
            </w:pPr>
            <w:r>
              <w:rPr>
                <w:kern w:val="0"/>
                <w:sz w:val="18"/>
                <w:szCs w:val="18"/>
                <w:lang w:bidi="ar"/>
              </w:rPr>
              <w:t>符合性</w:t>
            </w:r>
          </w:p>
        </w:tc>
      </w:tr>
      <w:tr w14:paraId="287E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658EE0AF">
            <w:pPr>
              <w:widowControl/>
              <w:adjustRightInd w:val="0"/>
              <w:snapToGrid w:val="0"/>
              <w:jc w:val="center"/>
              <w:rPr>
                <w:kern w:val="0"/>
                <w:sz w:val="18"/>
                <w:szCs w:val="18"/>
                <w:lang w:bidi="ar"/>
              </w:rPr>
            </w:pPr>
            <w:r>
              <w:rPr>
                <w:kern w:val="0"/>
                <w:sz w:val="18"/>
                <w:szCs w:val="18"/>
                <w:lang w:bidi="ar"/>
              </w:rPr>
              <w:t>编码</w:t>
            </w:r>
          </w:p>
        </w:tc>
        <w:tc>
          <w:tcPr>
            <w:tcW w:w="509" w:type="dxa"/>
            <w:vAlign w:val="center"/>
          </w:tcPr>
          <w:p w14:paraId="354E810D">
            <w:pPr>
              <w:widowControl/>
              <w:adjustRightInd w:val="0"/>
              <w:snapToGrid w:val="0"/>
              <w:jc w:val="center"/>
              <w:rPr>
                <w:kern w:val="0"/>
                <w:sz w:val="18"/>
                <w:szCs w:val="18"/>
                <w:lang w:bidi="ar"/>
              </w:rPr>
            </w:pPr>
            <w:r>
              <w:rPr>
                <w:kern w:val="0"/>
                <w:sz w:val="18"/>
                <w:szCs w:val="18"/>
                <w:lang w:bidi="ar"/>
              </w:rPr>
              <w:t>名称</w:t>
            </w:r>
          </w:p>
        </w:tc>
        <w:tc>
          <w:tcPr>
            <w:tcW w:w="696" w:type="dxa"/>
            <w:vAlign w:val="center"/>
          </w:tcPr>
          <w:p w14:paraId="1FB9A3A5">
            <w:pPr>
              <w:widowControl/>
              <w:adjustRightInd w:val="0"/>
              <w:snapToGrid w:val="0"/>
              <w:jc w:val="center"/>
              <w:rPr>
                <w:kern w:val="0"/>
                <w:sz w:val="18"/>
                <w:szCs w:val="18"/>
                <w:lang w:bidi="ar"/>
              </w:rPr>
            </w:pPr>
            <w:r>
              <w:rPr>
                <w:kern w:val="0"/>
                <w:sz w:val="18"/>
                <w:szCs w:val="18"/>
                <w:lang w:bidi="ar"/>
              </w:rPr>
              <w:t>分类</w:t>
            </w:r>
          </w:p>
        </w:tc>
        <w:tc>
          <w:tcPr>
            <w:tcW w:w="2944" w:type="dxa"/>
            <w:gridSpan w:val="2"/>
            <w:vMerge w:val="continue"/>
            <w:vAlign w:val="center"/>
          </w:tcPr>
          <w:p w14:paraId="2FC7B534">
            <w:pPr>
              <w:widowControl/>
              <w:adjustRightInd w:val="0"/>
              <w:snapToGrid w:val="0"/>
              <w:jc w:val="center"/>
              <w:rPr>
                <w:kern w:val="0"/>
                <w:sz w:val="18"/>
                <w:szCs w:val="18"/>
                <w:lang w:bidi="ar"/>
              </w:rPr>
            </w:pPr>
          </w:p>
        </w:tc>
        <w:tc>
          <w:tcPr>
            <w:tcW w:w="2064" w:type="dxa"/>
            <w:vMerge w:val="continue"/>
            <w:vAlign w:val="center"/>
          </w:tcPr>
          <w:p w14:paraId="1B7F5194">
            <w:pPr>
              <w:widowControl/>
              <w:adjustRightInd w:val="0"/>
              <w:snapToGrid w:val="0"/>
              <w:jc w:val="center"/>
              <w:rPr>
                <w:kern w:val="0"/>
                <w:sz w:val="18"/>
                <w:szCs w:val="18"/>
                <w:lang w:bidi="ar"/>
              </w:rPr>
            </w:pPr>
          </w:p>
        </w:tc>
        <w:tc>
          <w:tcPr>
            <w:tcW w:w="466" w:type="dxa"/>
            <w:vMerge w:val="continue"/>
            <w:vAlign w:val="center"/>
          </w:tcPr>
          <w:p w14:paraId="7E694B64">
            <w:pPr>
              <w:widowControl/>
              <w:adjustRightInd w:val="0"/>
              <w:snapToGrid w:val="0"/>
              <w:jc w:val="center"/>
              <w:rPr>
                <w:kern w:val="0"/>
                <w:sz w:val="18"/>
                <w:szCs w:val="18"/>
                <w:lang w:bidi="ar"/>
              </w:rPr>
            </w:pPr>
          </w:p>
        </w:tc>
      </w:tr>
      <w:tr w14:paraId="7E75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0D1509B6">
            <w:pPr>
              <w:widowControl/>
              <w:adjustRightInd w:val="0"/>
              <w:snapToGrid w:val="0"/>
              <w:jc w:val="center"/>
              <w:rPr>
                <w:kern w:val="0"/>
                <w:sz w:val="18"/>
                <w:szCs w:val="18"/>
                <w:lang w:bidi="ar"/>
              </w:rPr>
            </w:pPr>
            <w:r>
              <w:rPr>
                <w:rFonts w:hint="eastAsia"/>
                <w:kern w:val="0"/>
                <w:sz w:val="18"/>
                <w:szCs w:val="18"/>
                <w:lang w:bidi="ar"/>
              </w:rPr>
              <w:t>ZH33011320002</w:t>
            </w:r>
          </w:p>
        </w:tc>
        <w:tc>
          <w:tcPr>
            <w:tcW w:w="509" w:type="dxa"/>
            <w:vMerge w:val="restart"/>
            <w:vAlign w:val="center"/>
          </w:tcPr>
          <w:p w14:paraId="7B224B1A">
            <w:pPr>
              <w:widowControl/>
              <w:adjustRightInd w:val="0"/>
              <w:snapToGrid w:val="0"/>
              <w:jc w:val="center"/>
              <w:rPr>
                <w:kern w:val="0"/>
                <w:sz w:val="18"/>
                <w:szCs w:val="18"/>
                <w:lang w:bidi="ar"/>
              </w:rPr>
            </w:pPr>
            <w:r>
              <w:rPr>
                <w:rFonts w:hint="eastAsia"/>
                <w:kern w:val="0"/>
                <w:sz w:val="18"/>
                <w:szCs w:val="18"/>
                <w:lang w:bidi="ar"/>
              </w:rPr>
              <w:t>临平区杭州临平经济技术开发区产业集聚重点管控单元（原临平区杭州余杭经济技术开发区产业集聚重点管控单元）</w:t>
            </w:r>
          </w:p>
        </w:tc>
        <w:tc>
          <w:tcPr>
            <w:tcW w:w="696" w:type="dxa"/>
            <w:vMerge w:val="restart"/>
            <w:vAlign w:val="center"/>
          </w:tcPr>
          <w:p w14:paraId="6DA8294A">
            <w:pPr>
              <w:widowControl/>
              <w:adjustRightInd w:val="0"/>
              <w:snapToGrid w:val="0"/>
              <w:jc w:val="center"/>
              <w:rPr>
                <w:kern w:val="0"/>
                <w:sz w:val="18"/>
                <w:szCs w:val="18"/>
                <w:lang w:bidi="ar"/>
              </w:rPr>
            </w:pPr>
            <w:r>
              <w:rPr>
                <w:kern w:val="0"/>
                <w:sz w:val="18"/>
                <w:szCs w:val="18"/>
                <w:lang w:bidi="ar"/>
              </w:rPr>
              <w:t>重点管控单元</w:t>
            </w:r>
          </w:p>
        </w:tc>
        <w:tc>
          <w:tcPr>
            <w:tcW w:w="681" w:type="dxa"/>
            <w:vAlign w:val="center"/>
          </w:tcPr>
          <w:p w14:paraId="6744FE08">
            <w:pPr>
              <w:widowControl/>
              <w:adjustRightInd w:val="0"/>
              <w:snapToGrid w:val="0"/>
              <w:jc w:val="center"/>
              <w:rPr>
                <w:kern w:val="0"/>
                <w:sz w:val="18"/>
                <w:szCs w:val="18"/>
                <w:lang w:bidi="ar"/>
              </w:rPr>
            </w:pPr>
            <w:r>
              <w:rPr>
                <w:kern w:val="0"/>
                <w:sz w:val="18"/>
                <w:szCs w:val="18"/>
                <w:lang w:bidi="ar"/>
              </w:rPr>
              <w:t>空间布局</w:t>
            </w:r>
            <w:r>
              <w:rPr>
                <w:rFonts w:hint="eastAsia"/>
                <w:kern w:val="0"/>
                <w:sz w:val="18"/>
                <w:szCs w:val="18"/>
                <w:lang w:bidi="ar"/>
              </w:rPr>
              <w:t>引导</w:t>
            </w:r>
          </w:p>
        </w:tc>
        <w:tc>
          <w:tcPr>
            <w:tcW w:w="2263" w:type="dxa"/>
            <w:vAlign w:val="center"/>
          </w:tcPr>
          <w:p w14:paraId="5CD26660">
            <w:pPr>
              <w:widowControl/>
              <w:adjustRightInd w:val="0"/>
              <w:snapToGrid w:val="0"/>
              <w:jc w:val="center"/>
              <w:rPr>
                <w:kern w:val="0"/>
                <w:sz w:val="18"/>
                <w:szCs w:val="18"/>
                <w:lang w:bidi="ar"/>
              </w:rPr>
            </w:pPr>
            <w:r>
              <w:rPr>
                <w:rFonts w:hint="eastAsia"/>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0EAE592E">
            <w:pPr>
              <w:widowControl/>
              <w:adjustRightInd w:val="0"/>
              <w:snapToGrid w:val="0"/>
              <w:jc w:val="center"/>
              <w:rPr>
                <w:kern w:val="0"/>
                <w:sz w:val="18"/>
                <w:szCs w:val="18"/>
                <w:lang w:bidi="ar"/>
              </w:rPr>
            </w:pPr>
            <w:r>
              <w:rPr>
                <w:rFonts w:hint="eastAsia"/>
                <w:kern w:val="0"/>
                <w:sz w:val="18"/>
                <w:szCs w:val="18"/>
                <w:lang w:bidi="ar"/>
              </w:rPr>
              <w:t>项目位于临平区杭州临平经济技术开发区产业集聚重（ZH33011320002），企业与敏感点之间有道路和绿化带隔离。</w:t>
            </w:r>
          </w:p>
        </w:tc>
        <w:tc>
          <w:tcPr>
            <w:tcW w:w="466" w:type="dxa"/>
            <w:vAlign w:val="center"/>
          </w:tcPr>
          <w:p w14:paraId="519FE731">
            <w:pPr>
              <w:widowControl/>
              <w:adjustRightInd w:val="0"/>
              <w:snapToGrid w:val="0"/>
              <w:jc w:val="center"/>
              <w:rPr>
                <w:kern w:val="0"/>
                <w:sz w:val="18"/>
                <w:szCs w:val="18"/>
                <w:lang w:bidi="ar"/>
              </w:rPr>
            </w:pPr>
            <w:r>
              <w:rPr>
                <w:kern w:val="0"/>
                <w:sz w:val="18"/>
                <w:szCs w:val="18"/>
                <w:lang w:bidi="ar"/>
              </w:rPr>
              <w:t>符合</w:t>
            </w:r>
          </w:p>
        </w:tc>
      </w:tr>
      <w:tr w14:paraId="51E4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6F51204E">
            <w:pPr>
              <w:widowControl/>
              <w:adjustRightInd w:val="0"/>
              <w:snapToGrid w:val="0"/>
              <w:jc w:val="center"/>
              <w:rPr>
                <w:kern w:val="0"/>
                <w:sz w:val="18"/>
                <w:szCs w:val="18"/>
                <w:lang w:bidi="ar"/>
              </w:rPr>
            </w:pPr>
          </w:p>
        </w:tc>
        <w:tc>
          <w:tcPr>
            <w:tcW w:w="509" w:type="dxa"/>
            <w:vMerge w:val="continue"/>
            <w:vAlign w:val="center"/>
          </w:tcPr>
          <w:p w14:paraId="16514D65">
            <w:pPr>
              <w:widowControl/>
              <w:adjustRightInd w:val="0"/>
              <w:snapToGrid w:val="0"/>
              <w:jc w:val="center"/>
              <w:rPr>
                <w:kern w:val="0"/>
                <w:sz w:val="18"/>
                <w:szCs w:val="18"/>
                <w:lang w:bidi="ar"/>
              </w:rPr>
            </w:pPr>
          </w:p>
        </w:tc>
        <w:tc>
          <w:tcPr>
            <w:tcW w:w="696" w:type="dxa"/>
            <w:vMerge w:val="continue"/>
            <w:vAlign w:val="center"/>
          </w:tcPr>
          <w:p w14:paraId="4812D550">
            <w:pPr>
              <w:widowControl/>
              <w:adjustRightInd w:val="0"/>
              <w:snapToGrid w:val="0"/>
              <w:jc w:val="center"/>
              <w:rPr>
                <w:kern w:val="0"/>
                <w:sz w:val="18"/>
                <w:szCs w:val="18"/>
                <w:lang w:bidi="ar"/>
              </w:rPr>
            </w:pPr>
          </w:p>
        </w:tc>
        <w:tc>
          <w:tcPr>
            <w:tcW w:w="681" w:type="dxa"/>
            <w:vAlign w:val="center"/>
          </w:tcPr>
          <w:p w14:paraId="158E2BB1">
            <w:pPr>
              <w:widowControl/>
              <w:adjustRightInd w:val="0"/>
              <w:snapToGrid w:val="0"/>
              <w:jc w:val="center"/>
              <w:rPr>
                <w:kern w:val="0"/>
                <w:sz w:val="18"/>
                <w:szCs w:val="18"/>
                <w:lang w:bidi="ar"/>
              </w:rPr>
            </w:pPr>
            <w:r>
              <w:rPr>
                <w:kern w:val="0"/>
                <w:sz w:val="18"/>
                <w:szCs w:val="18"/>
                <w:lang w:bidi="ar"/>
              </w:rPr>
              <w:t>污染物排放管控</w:t>
            </w:r>
          </w:p>
        </w:tc>
        <w:tc>
          <w:tcPr>
            <w:tcW w:w="2263" w:type="dxa"/>
            <w:vAlign w:val="center"/>
          </w:tcPr>
          <w:p w14:paraId="0A2EDFAC">
            <w:pPr>
              <w:widowControl/>
              <w:adjustRightInd w:val="0"/>
              <w:snapToGrid w:val="0"/>
              <w:jc w:val="center"/>
              <w:rPr>
                <w:kern w:val="0"/>
                <w:sz w:val="18"/>
                <w:szCs w:val="18"/>
                <w:lang w:bidi="ar"/>
              </w:rPr>
            </w:pPr>
            <w:r>
              <w:rPr>
                <w:rFonts w:hint="eastAsia"/>
                <w:kern w:val="0"/>
                <w:sz w:val="18"/>
                <w:szCs w:val="18"/>
                <w:lang w:bidi="ar"/>
              </w:rPr>
              <w:t>严格实施污染物总量控制制度，根据区域环境质量改善目标，削减污染物排放总量。所有企业实现雨污分流。</w:t>
            </w:r>
          </w:p>
        </w:tc>
        <w:tc>
          <w:tcPr>
            <w:tcW w:w="2064" w:type="dxa"/>
            <w:vAlign w:val="center"/>
          </w:tcPr>
          <w:p w14:paraId="43479011">
            <w:pPr>
              <w:widowControl/>
              <w:adjustRightInd w:val="0"/>
              <w:snapToGrid w:val="0"/>
              <w:jc w:val="center"/>
              <w:rPr>
                <w:kern w:val="0"/>
                <w:sz w:val="18"/>
                <w:szCs w:val="18"/>
                <w:lang w:bidi="ar"/>
              </w:rPr>
            </w:pPr>
            <w:r>
              <w:rPr>
                <w:rFonts w:hint="eastAsia"/>
                <w:kern w:val="0"/>
                <w:sz w:val="18"/>
                <w:szCs w:val="18"/>
                <w:lang w:bidi="ar"/>
              </w:rPr>
              <w:t>企业已实现雨污分流；项目废水、废气、噪声经相应处理措施处理后均能达标排放。本项目实施后全厂污染物控制指标总量不新增。</w:t>
            </w:r>
          </w:p>
        </w:tc>
        <w:tc>
          <w:tcPr>
            <w:tcW w:w="466" w:type="dxa"/>
            <w:vAlign w:val="center"/>
          </w:tcPr>
          <w:p w14:paraId="2B6EBA10">
            <w:pPr>
              <w:widowControl/>
              <w:adjustRightInd w:val="0"/>
              <w:snapToGrid w:val="0"/>
              <w:jc w:val="center"/>
              <w:rPr>
                <w:kern w:val="0"/>
                <w:sz w:val="18"/>
                <w:szCs w:val="18"/>
                <w:lang w:bidi="ar"/>
              </w:rPr>
            </w:pPr>
            <w:r>
              <w:rPr>
                <w:kern w:val="0"/>
                <w:sz w:val="18"/>
                <w:szCs w:val="18"/>
                <w:lang w:bidi="ar"/>
              </w:rPr>
              <w:t>符合</w:t>
            </w:r>
          </w:p>
        </w:tc>
      </w:tr>
      <w:tr w14:paraId="68C8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4FF8C01C">
            <w:pPr>
              <w:widowControl/>
              <w:adjustRightInd w:val="0"/>
              <w:snapToGrid w:val="0"/>
              <w:jc w:val="center"/>
              <w:rPr>
                <w:kern w:val="0"/>
                <w:sz w:val="18"/>
                <w:szCs w:val="18"/>
                <w:lang w:bidi="ar"/>
              </w:rPr>
            </w:pPr>
          </w:p>
        </w:tc>
        <w:tc>
          <w:tcPr>
            <w:tcW w:w="509" w:type="dxa"/>
            <w:vMerge w:val="continue"/>
            <w:vAlign w:val="center"/>
          </w:tcPr>
          <w:p w14:paraId="14EED4A1">
            <w:pPr>
              <w:widowControl/>
              <w:adjustRightInd w:val="0"/>
              <w:snapToGrid w:val="0"/>
              <w:jc w:val="center"/>
              <w:rPr>
                <w:kern w:val="0"/>
                <w:sz w:val="18"/>
                <w:szCs w:val="18"/>
                <w:lang w:bidi="ar"/>
              </w:rPr>
            </w:pPr>
          </w:p>
        </w:tc>
        <w:tc>
          <w:tcPr>
            <w:tcW w:w="696" w:type="dxa"/>
            <w:vMerge w:val="continue"/>
            <w:vAlign w:val="center"/>
          </w:tcPr>
          <w:p w14:paraId="295FF1E4">
            <w:pPr>
              <w:widowControl/>
              <w:adjustRightInd w:val="0"/>
              <w:snapToGrid w:val="0"/>
              <w:jc w:val="center"/>
              <w:rPr>
                <w:kern w:val="0"/>
                <w:sz w:val="18"/>
                <w:szCs w:val="18"/>
                <w:lang w:bidi="ar"/>
              </w:rPr>
            </w:pPr>
          </w:p>
        </w:tc>
        <w:tc>
          <w:tcPr>
            <w:tcW w:w="681" w:type="dxa"/>
            <w:vAlign w:val="center"/>
          </w:tcPr>
          <w:p w14:paraId="60CF83A7">
            <w:pPr>
              <w:widowControl/>
              <w:adjustRightInd w:val="0"/>
              <w:snapToGrid w:val="0"/>
              <w:jc w:val="center"/>
              <w:rPr>
                <w:kern w:val="0"/>
                <w:sz w:val="18"/>
                <w:szCs w:val="18"/>
                <w:lang w:bidi="ar"/>
              </w:rPr>
            </w:pPr>
            <w:r>
              <w:rPr>
                <w:kern w:val="0"/>
                <w:sz w:val="18"/>
                <w:szCs w:val="18"/>
                <w:lang w:bidi="ar"/>
              </w:rPr>
              <w:t>环境风险防控</w:t>
            </w:r>
          </w:p>
        </w:tc>
        <w:tc>
          <w:tcPr>
            <w:tcW w:w="2263" w:type="dxa"/>
            <w:vAlign w:val="center"/>
          </w:tcPr>
          <w:p w14:paraId="13FA96FB">
            <w:pPr>
              <w:widowControl/>
              <w:adjustRightInd w:val="0"/>
              <w:snapToGrid w:val="0"/>
              <w:jc w:val="center"/>
              <w:rPr>
                <w:kern w:val="0"/>
                <w:sz w:val="18"/>
                <w:szCs w:val="18"/>
                <w:lang w:bidi="ar"/>
              </w:rPr>
            </w:pPr>
            <w:r>
              <w:rPr>
                <w:rFonts w:hint="eastAsia"/>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0F7ED196">
            <w:pPr>
              <w:widowControl/>
              <w:adjustRightInd w:val="0"/>
              <w:snapToGrid w:val="0"/>
              <w:jc w:val="center"/>
              <w:rPr>
                <w:kern w:val="0"/>
                <w:sz w:val="18"/>
                <w:szCs w:val="18"/>
                <w:lang w:bidi="ar"/>
              </w:rPr>
            </w:pPr>
            <w:r>
              <w:rPr>
                <w:rFonts w:hint="eastAsia"/>
                <w:kern w:val="0"/>
                <w:sz w:val="18"/>
                <w:szCs w:val="18"/>
                <w:lang w:bidi="ar"/>
              </w:rPr>
              <w:t>企业已按要求编制有针对性的突发环境事件应急预案，落实各项风险防范措施，建设风险防控体系。符合环境风险防控要求。</w:t>
            </w:r>
          </w:p>
        </w:tc>
        <w:tc>
          <w:tcPr>
            <w:tcW w:w="466" w:type="dxa"/>
            <w:vAlign w:val="center"/>
          </w:tcPr>
          <w:p w14:paraId="0F3B1607">
            <w:pPr>
              <w:widowControl/>
              <w:adjustRightInd w:val="0"/>
              <w:snapToGrid w:val="0"/>
              <w:jc w:val="center"/>
              <w:rPr>
                <w:kern w:val="0"/>
                <w:sz w:val="18"/>
                <w:szCs w:val="18"/>
                <w:lang w:bidi="ar"/>
              </w:rPr>
            </w:pPr>
            <w:r>
              <w:rPr>
                <w:kern w:val="0"/>
                <w:sz w:val="18"/>
                <w:szCs w:val="18"/>
                <w:lang w:bidi="ar"/>
              </w:rPr>
              <w:t>符合</w:t>
            </w:r>
          </w:p>
        </w:tc>
      </w:tr>
      <w:tr w14:paraId="2482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770684CE">
            <w:pPr>
              <w:widowControl/>
              <w:adjustRightInd w:val="0"/>
              <w:snapToGrid w:val="0"/>
              <w:jc w:val="center"/>
              <w:rPr>
                <w:kern w:val="0"/>
                <w:sz w:val="18"/>
                <w:szCs w:val="18"/>
                <w:lang w:bidi="ar"/>
              </w:rPr>
            </w:pPr>
          </w:p>
        </w:tc>
        <w:tc>
          <w:tcPr>
            <w:tcW w:w="509" w:type="dxa"/>
            <w:vMerge w:val="continue"/>
            <w:vAlign w:val="center"/>
          </w:tcPr>
          <w:p w14:paraId="5021D510">
            <w:pPr>
              <w:widowControl/>
              <w:adjustRightInd w:val="0"/>
              <w:snapToGrid w:val="0"/>
              <w:jc w:val="center"/>
              <w:rPr>
                <w:kern w:val="0"/>
                <w:sz w:val="18"/>
                <w:szCs w:val="18"/>
                <w:lang w:bidi="ar"/>
              </w:rPr>
            </w:pPr>
          </w:p>
        </w:tc>
        <w:tc>
          <w:tcPr>
            <w:tcW w:w="696" w:type="dxa"/>
            <w:vMerge w:val="continue"/>
            <w:vAlign w:val="center"/>
          </w:tcPr>
          <w:p w14:paraId="3CF794F7">
            <w:pPr>
              <w:widowControl/>
              <w:adjustRightInd w:val="0"/>
              <w:snapToGrid w:val="0"/>
              <w:jc w:val="center"/>
              <w:rPr>
                <w:kern w:val="0"/>
                <w:sz w:val="18"/>
                <w:szCs w:val="18"/>
                <w:lang w:bidi="ar"/>
              </w:rPr>
            </w:pPr>
          </w:p>
        </w:tc>
        <w:tc>
          <w:tcPr>
            <w:tcW w:w="681" w:type="dxa"/>
            <w:vAlign w:val="center"/>
          </w:tcPr>
          <w:p w14:paraId="011A8C85">
            <w:pPr>
              <w:widowControl/>
              <w:adjustRightInd w:val="0"/>
              <w:snapToGrid w:val="0"/>
              <w:jc w:val="center"/>
              <w:rPr>
                <w:kern w:val="0"/>
                <w:sz w:val="18"/>
                <w:szCs w:val="18"/>
                <w:lang w:bidi="ar"/>
              </w:rPr>
            </w:pPr>
            <w:r>
              <w:rPr>
                <w:kern w:val="0"/>
                <w:sz w:val="18"/>
                <w:szCs w:val="18"/>
                <w:lang w:bidi="ar"/>
              </w:rPr>
              <w:t>资源开发效率要求</w:t>
            </w:r>
          </w:p>
        </w:tc>
        <w:tc>
          <w:tcPr>
            <w:tcW w:w="2263" w:type="dxa"/>
            <w:vAlign w:val="center"/>
          </w:tcPr>
          <w:p w14:paraId="728D740C">
            <w:pPr>
              <w:widowControl/>
              <w:adjustRightInd w:val="0"/>
              <w:snapToGrid w:val="0"/>
              <w:jc w:val="center"/>
              <w:rPr>
                <w:kern w:val="0"/>
                <w:sz w:val="18"/>
                <w:szCs w:val="18"/>
                <w:lang w:bidi="ar"/>
              </w:rPr>
            </w:pPr>
            <w:r>
              <w:rPr>
                <w:rFonts w:hint="eastAsia"/>
                <w:kern w:val="0"/>
                <w:sz w:val="18"/>
                <w:szCs w:val="18"/>
                <w:lang w:bidi="ar"/>
              </w:rPr>
              <w:t>/</w:t>
            </w:r>
          </w:p>
        </w:tc>
        <w:tc>
          <w:tcPr>
            <w:tcW w:w="2064" w:type="dxa"/>
            <w:vAlign w:val="center"/>
          </w:tcPr>
          <w:p w14:paraId="37A9F73B">
            <w:pPr>
              <w:widowControl/>
              <w:adjustRightInd w:val="0"/>
              <w:snapToGrid w:val="0"/>
              <w:jc w:val="center"/>
              <w:rPr>
                <w:kern w:val="0"/>
                <w:sz w:val="18"/>
                <w:szCs w:val="18"/>
                <w:lang w:bidi="ar"/>
              </w:rPr>
            </w:pPr>
            <w:r>
              <w:rPr>
                <w:rFonts w:hint="eastAsia"/>
                <w:kern w:val="0"/>
                <w:sz w:val="18"/>
                <w:szCs w:val="18"/>
                <w:lang w:bidi="ar"/>
              </w:rPr>
              <w:t>/</w:t>
            </w:r>
          </w:p>
        </w:tc>
        <w:tc>
          <w:tcPr>
            <w:tcW w:w="466" w:type="dxa"/>
            <w:vAlign w:val="center"/>
          </w:tcPr>
          <w:p w14:paraId="0E7E7604">
            <w:pPr>
              <w:widowControl/>
              <w:adjustRightInd w:val="0"/>
              <w:snapToGrid w:val="0"/>
              <w:jc w:val="center"/>
              <w:rPr>
                <w:kern w:val="0"/>
                <w:sz w:val="18"/>
                <w:szCs w:val="18"/>
                <w:lang w:bidi="ar"/>
              </w:rPr>
            </w:pPr>
            <w:r>
              <w:rPr>
                <w:rFonts w:hint="eastAsia"/>
                <w:kern w:val="0"/>
                <w:sz w:val="18"/>
                <w:szCs w:val="18"/>
                <w:lang w:bidi="ar"/>
              </w:rPr>
              <w:t>/</w:t>
            </w:r>
          </w:p>
        </w:tc>
      </w:tr>
    </w:tbl>
    <w:p w14:paraId="3303039F">
      <w:pPr>
        <w:adjustRightInd w:val="0"/>
        <w:snapToGrid w:val="0"/>
        <w:spacing w:line="360" w:lineRule="auto"/>
        <w:ind w:firstLine="480" w:firstLineChars="200"/>
        <w:rPr>
          <w:snapToGrid w:val="0"/>
          <w:sz w:val="24"/>
        </w:rPr>
      </w:pPr>
      <w:r>
        <w:rPr>
          <w:snapToGrid w:val="0"/>
          <w:sz w:val="24"/>
        </w:rPr>
        <w:t>综上分析，项目建设符合</w:t>
      </w:r>
      <w:r>
        <w:rPr>
          <w:rFonts w:hint="eastAsia"/>
          <w:snapToGrid w:val="0"/>
          <w:sz w:val="24"/>
        </w:rPr>
        <w:t>《杭州市生态环境分区管控动态更新方案》</w:t>
      </w:r>
      <w:r>
        <w:rPr>
          <w:snapToGrid w:val="0"/>
          <w:sz w:val="24"/>
        </w:rPr>
        <w:t>管控要求。</w:t>
      </w:r>
    </w:p>
    <w:p w14:paraId="15AEC354">
      <w:pPr>
        <w:spacing w:line="360" w:lineRule="auto"/>
        <w:ind w:firstLine="482" w:firstLineChars="200"/>
        <w:jc w:val="left"/>
        <w:rPr>
          <w:b/>
          <w:sz w:val="24"/>
          <w:szCs w:val="24"/>
        </w:rPr>
      </w:pPr>
      <w:r>
        <w:rPr>
          <w:b/>
          <w:sz w:val="24"/>
          <w:szCs w:val="24"/>
        </w:rPr>
        <w:t>（2）《杭州余杭经济技术开发区总体规划修编（2020-2035年）环境影响报告书》符合性分析</w:t>
      </w:r>
    </w:p>
    <w:p w14:paraId="6C883BD0">
      <w:pPr>
        <w:spacing w:line="360" w:lineRule="auto"/>
        <w:ind w:firstLine="480" w:firstLineChars="200"/>
        <w:rPr>
          <w:sz w:val="24"/>
          <w:szCs w:val="24"/>
        </w:rPr>
      </w:pPr>
      <w:r>
        <w:rPr>
          <w:sz w:val="24"/>
          <w:szCs w:val="24"/>
        </w:rPr>
        <w:t>本报告根据《杭州余杭经济技术开发区总体规划修编（2020-2035年）环境影响报告书》对规划环评相关内容进行分析。</w:t>
      </w:r>
    </w:p>
    <w:p w14:paraId="416B93A6">
      <w:pPr>
        <w:spacing w:line="360" w:lineRule="auto"/>
        <w:ind w:firstLine="482" w:firstLineChars="200"/>
        <w:rPr>
          <w:b/>
          <w:sz w:val="24"/>
          <w:szCs w:val="24"/>
        </w:rPr>
      </w:pPr>
      <w:r>
        <w:rPr>
          <w:b/>
          <w:sz w:val="24"/>
          <w:szCs w:val="24"/>
        </w:rPr>
        <w:t>1、开发区生态空间清单符合性分析</w:t>
      </w:r>
    </w:p>
    <w:p w14:paraId="570C0F29">
      <w:pPr>
        <w:spacing w:line="360" w:lineRule="auto"/>
        <w:ind w:firstLine="480" w:firstLineChars="200"/>
        <w:rPr>
          <w:sz w:val="24"/>
          <w:szCs w:val="24"/>
        </w:rPr>
      </w:pPr>
      <w:r>
        <w:rPr>
          <w:sz w:val="24"/>
          <w:szCs w:val="24"/>
        </w:rPr>
        <w:t>本项目</w:t>
      </w:r>
      <w:r>
        <w:rPr>
          <w:rFonts w:hint="eastAsia"/>
          <w:sz w:val="24"/>
          <w:szCs w:val="24"/>
        </w:rPr>
        <w:t>评价范围内无环境敏感目标</w:t>
      </w:r>
      <w:r>
        <w:rPr>
          <w:sz w:val="24"/>
          <w:szCs w:val="24"/>
        </w:rPr>
        <w:t>。各类污染物均可达标排放，对环境污染不大。</w:t>
      </w:r>
    </w:p>
    <w:p w14:paraId="04AE7928">
      <w:pPr>
        <w:spacing w:line="360" w:lineRule="auto"/>
        <w:ind w:firstLine="480" w:firstLineChars="200"/>
        <w:rPr>
          <w:sz w:val="24"/>
          <w:szCs w:val="24"/>
        </w:rPr>
      </w:pPr>
      <w:r>
        <w:rPr>
          <w:sz w:val="24"/>
          <w:szCs w:val="24"/>
        </w:rPr>
        <w:t>本项目各类污染物经处理后均可达标排放，新增总量不大，不会影响区域环境质量改善目标。企业实现雨污分流。</w:t>
      </w:r>
    </w:p>
    <w:p w14:paraId="346A9E2B">
      <w:pPr>
        <w:spacing w:line="360" w:lineRule="auto"/>
        <w:ind w:firstLine="480" w:firstLineChars="200"/>
        <w:rPr>
          <w:sz w:val="24"/>
          <w:szCs w:val="24"/>
        </w:rPr>
      </w:pPr>
      <w:r>
        <w:rPr>
          <w:sz w:val="24"/>
          <w:szCs w:val="24"/>
        </w:rPr>
        <w:t>要求企业编制有针对性的突发环境事件应急预案，落实各项风险防范措施，与区域环境风险防控体系形成应急联动。</w:t>
      </w:r>
    </w:p>
    <w:p w14:paraId="794298A8">
      <w:pPr>
        <w:spacing w:line="360" w:lineRule="auto"/>
        <w:ind w:firstLine="480" w:firstLineChars="200"/>
        <w:rPr>
          <w:sz w:val="24"/>
          <w:szCs w:val="24"/>
        </w:rPr>
      </w:pPr>
      <w:r>
        <w:rPr>
          <w:sz w:val="24"/>
          <w:szCs w:val="24"/>
        </w:rPr>
        <w:t>因此，项目符合生态空间管控要求。</w:t>
      </w:r>
    </w:p>
    <w:p w14:paraId="0AE75859">
      <w:pPr>
        <w:spacing w:line="360" w:lineRule="auto"/>
        <w:ind w:firstLine="482" w:firstLineChars="200"/>
        <w:rPr>
          <w:b/>
          <w:sz w:val="24"/>
          <w:szCs w:val="24"/>
        </w:rPr>
      </w:pPr>
      <w:r>
        <w:rPr>
          <w:b/>
          <w:sz w:val="24"/>
          <w:szCs w:val="24"/>
        </w:rPr>
        <w:t>2、开发区现有问题整改措施清单符合性分析</w:t>
      </w:r>
    </w:p>
    <w:p w14:paraId="683516C9">
      <w:pPr>
        <w:spacing w:line="360" w:lineRule="auto"/>
        <w:ind w:firstLine="480" w:firstLineChars="200"/>
        <w:rPr>
          <w:sz w:val="24"/>
          <w:szCs w:val="24"/>
        </w:rPr>
      </w:pPr>
      <w:r>
        <w:rPr>
          <w:sz w:val="24"/>
          <w:szCs w:val="24"/>
        </w:rPr>
        <w:t>对照规划环评现有问题清单，企业现有厂区不在整改之列，企业现有项目已落实原审批提出的污染防治措施，经检测其排放的废气、废水及噪声均可满足相关标准要求，符合现有问题整改措施清单要求。</w:t>
      </w:r>
    </w:p>
    <w:p w14:paraId="57B80FA9">
      <w:pPr>
        <w:adjustRightInd w:val="0"/>
        <w:snapToGrid w:val="0"/>
        <w:spacing w:line="360" w:lineRule="auto"/>
        <w:ind w:firstLine="482" w:firstLineChars="200"/>
        <w:rPr>
          <w:b/>
          <w:sz w:val="24"/>
          <w:szCs w:val="24"/>
        </w:rPr>
      </w:pPr>
      <w:r>
        <w:rPr>
          <w:b/>
          <w:sz w:val="24"/>
          <w:szCs w:val="24"/>
        </w:rPr>
        <w:t>3、污染物排放总量管控限值清单符合性分析</w:t>
      </w:r>
    </w:p>
    <w:p w14:paraId="4B3D9CC9">
      <w:pPr>
        <w:adjustRightInd w:val="0"/>
        <w:snapToGrid w:val="0"/>
        <w:spacing w:line="360" w:lineRule="auto"/>
        <w:ind w:firstLine="482" w:firstLineChars="200"/>
        <w:rPr>
          <w:snapToGrid w:val="0"/>
          <w:sz w:val="24"/>
        </w:rPr>
      </w:pPr>
      <w:r>
        <w:rPr>
          <w:b/>
          <w:snapToGrid w:val="0"/>
          <w:sz w:val="24"/>
        </w:rPr>
        <w:t>符合性分析：</w:t>
      </w:r>
      <w:r>
        <w:rPr>
          <w:sz w:val="24"/>
          <w:szCs w:val="24"/>
        </w:rPr>
        <w:t>本项目实施后，</w:t>
      </w:r>
      <w:r>
        <w:rPr>
          <w:rFonts w:hint="eastAsia"/>
          <w:sz w:val="24"/>
          <w:szCs w:val="24"/>
        </w:rPr>
        <w:t>全厂污染物COD排放量0.013t/a，氨氮（NH</w:t>
      </w:r>
      <w:r>
        <w:rPr>
          <w:rFonts w:hint="eastAsia"/>
          <w:sz w:val="24"/>
          <w:szCs w:val="24"/>
          <w:vertAlign w:val="subscript"/>
        </w:rPr>
        <w:t>3</w:t>
      </w:r>
      <w:r>
        <w:rPr>
          <w:rFonts w:hint="eastAsia"/>
          <w:sz w:val="24"/>
          <w:szCs w:val="24"/>
        </w:rPr>
        <w:t>-N）排放量0.001t/a，挥发性有机物（</w:t>
      </w:r>
      <w:r>
        <w:rPr>
          <w:sz w:val="24"/>
          <w:szCs w:val="24"/>
        </w:rPr>
        <w:t>VOCs</w:t>
      </w:r>
      <w:r>
        <w:rPr>
          <w:rFonts w:hint="eastAsia"/>
          <w:sz w:val="24"/>
          <w:szCs w:val="24"/>
        </w:rPr>
        <w:t>）</w:t>
      </w:r>
      <w:r>
        <w:rPr>
          <w:sz w:val="24"/>
          <w:szCs w:val="24"/>
        </w:rPr>
        <w:t>排放量</w:t>
      </w:r>
      <w:r>
        <w:rPr>
          <w:rFonts w:hint="eastAsia"/>
          <w:sz w:val="24"/>
          <w:szCs w:val="24"/>
        </w:rPr>
        <w:t>0.373</w:t>
      </w:r>
      <w:r>
        <w:rPr>
          <w:sz w:val="24"/>
          <w:szCs w:val="24"/>
        </w:rPr>
        <w:t>t/a</w:t>
      </w:r>
      <w:r>
        <w:rPr>
          <w:snapToGrid w:val="0"/>
          <w:sz w:val="24"/>
        </w:rPr>
        <w:t>。</w:t>
      </w:r>
    </w:p>
    <w:p w14:paraId="15B4B56C">
      <w:pPr>
        <w:adjustRightInd w:val="0"/>
        <w:snapToGrid w:val="0"/>
        <w:spacing w:line="360" w:lineRule="auto"/>
        <w:ind w:firstLine="480" w:firstLineChars="200"/>
        <w:rPr>
          <w:sz w:val="24"/>
          <w:szCs w:val="24"/>
        </w:rPr>
      </w:pPr>
      <w:r>
        <w:rPr>
          <w:sz w:val="24"/>
          <w:szCs w:val="24"/>
        </w:rPr>
        <w:t>本项目实施后，</w:t>
      </w:r>
      <w:r>
        <w:rPr>
          <w:rFonts w:hint="eastAsia"/>
          <w:sz w:val="24"/>
          <w:szCs w:val="24"/>
        </w:rPr>
        <w:t>全厂污染物排放总量不超过原环评批复总量，不新增污染物总量控制指标</w:t>
      </w:r>
      <w:r>
        <w:rPr>
          <w:sz w:val="24"/>
          <w:szCs w:val="24"/>
        </w:rPr>
        <w:t>。</w:t>
      </w:r>
    </w:p>
    <w:p w14:paraId="50A0A103">
      <w:pPr>
        <w:spacing w:line="360" w:lineRule="auto"/>
        <w:ind w:firstLine="482" w:firstLineChars="200"/>
        <w:rPr>
          <w:b/>
          <w:sz w:val="24"/>
          <w:szCs w:val="24"/>
        </w:rPr>
      </w:pPr>
      <w:r>
        <w:rPr>
          <w:b/>
          <w:sz w:val="24"/>
          <w:szCs w:val="24"/>
        </w:rPr>
        <w:t>4、开发区规划优化调整建议清单符合性分析</w:t>
      </w:r>
    </w:p>
    <w:p w14:paraId="3D4DD372">
      <w:pPr>
        <w:spacing w:line="360" w:lineRule="auto"/>
        <w:ind w:firstLine="480" w:firstLineChars="200"/>
        <w:rPr>
          <w:sz w:val="24"/>
          <w:szCs w:val="24"/>
        </w:rPr>
      </w:pPr>
      <w:r>
        <w:rPr>
          <w:rFonts w:hint="eastAsia"/>
          <w:sz w:val="24"/>
          <w:szCs w:val="24"/>
        </w:rPr>
        <w:t>本项目不新增用地，利用园区内现有车间，用地性质符合区域用地规划，项目位于集中的工业区内，距离最近敏感点约350米，有道路和绿化带隔离；项目用地范围内不涉及永久基本农田，不在禁建区和限建区。本项目主要进行家具制造，符合园区产业定位，生产废水经企业自建污水处理系统预处理，生活污水经园区内化粪池预处理后与生产废水纳入市政管网进入临平净水厂处理。因此不涉及园区规划优化调整建议相关内容，符合相关要求。</w:t>
      </w:r>
      <w:r>
        <w:rPr>
          <w:sz w:val="24"/>
          <w:szCs w:val="24"/>
        </w:rPr>
        <w:t>通过对照上表分析，本项目不涉及优化调整建议清单中的内容，符合相关要求。</w:t>
      </w:r>
    </w:p>
    <w:p w14:paraId="6DB590B5">
      <w:pPr>
        <w:spacing w:line="360" w:lineRule="auto"/>
        <w:ind w:firstLine="482" w:firstLineChars="200"/>
        <w:rPr>
          <w:b/>
          <w:bCs/>
          <w:kern w:val="0"/>
          <w:sz w:val="24"/>
          <w:szCs w:val="24"/>
        </w:rPr>
      </w:pPr>
      <w:r>
        <w:rPr>
          <w:b/>
          <w:bCs/>
          <w:kern w:val="0"/>
          <w:sz w:val="24"/>
          <w:szCs w:val="24"/>
        </w:rPr>
        <w:t>5、环境准入条件清单符合性分析</w:t>
      </w:r>
    </w:p>
    <w:p w14:paraId="697D56DA">
      <w:pPr>
        <w:spacing w:line="360" w:lineRule="auto"/>
        <w:ind w:firstLine="480" w:firstLineChars="200"/>
        <w:rPr>
          <w:sz w:val="24"/>
          <w:szCs w:val="24"/>
        </w:rPr>
      </w:pPr>
      <w:bookmarkStart w:id="8" w:name="_Hlk68127454"/>
      <w:r>
        <w:rPr>
          <w:rFonts w:hint="eastAsia"/>
          <w:sz w:val="24"/>
          <w:szCs w:val="24"/>
        </w:rPr>
        <w:t>对照《杭州余杭经济技术开发区总体规划修编（2020-2035 年）环境影响报告书》中10.1.4非主导产业准入条件：鉴于开发区内目前尚有部分工业企业不属于规划期主导产业，同时未来也存在引进其他产业的可能，本次环评结合开发区实际及区域环境管理要求，针对非主导产业中的部分高能耗、高污染、高排放行业和项目提出禁止、限制类清单。具体禁止、限制准入原则同“主导产业”要求。具体要求如下。</w:t>
      </w:r>
    </w:p>
    <w:p w14:paraId="0879E701">
      <w:pPr>
        <w:spacing w:line="360" w:lineRule="auto"/>
        <w:ind w:firstLine="480" w:firstLineChars="200"/>
        <w:rPr>
          <w:sz w:val="24"/>
          <w:szCs w:val="24"/>
        </w:rPr>
      </w:pPr>
      <w:r>
        <w:rPr>
          <w:rFonts w:hint="eastAsia"/>
          <w:sz w:val="24"/>
          <w:szCs w:val="24"/>
        </w:rPr>
        <w:t>列入禁止类清单的主要以高污染、高环境风险的三类工业项目为主，另有部分处于产业链低端、附加值低、无发展前景的行业。对禁止类项目，严禁投资新建、扩建；对属于禁止类的现有生产能力，仅允许在不增加污染物排放总量并严格控制环境风险的前提下进行迁、改建，并须按限制类项目准入要求经管委会“一事一议”审批通过，同时鼓励此类项目适时进行转型升级或关停淘汰。</w:t>
      </w:r>
    </w:p>
    <w:p w14:paraId="479FC3DD">
      <w:pPr>
        <w:spacing w:line="360" w:lineRule="auto"/>
        <w:ind w:firstLine="480" w:firstLineChars="200"/>
        <w:rPr>
          <w:sz w:val="24"/>
          <w:szCs w:val="24"/>
        </w:rPr>
      </w:pPr>
      <w:r>
        <w:rPr>
          <w:rFonts w:hint="eastAsia"/>
          <w:sz w:val="24"/>
          <w:szCs w:val="24"/>
        </w:rPr>
        <w:t>本次项目为迁建项目，对照开发区环境准入清单，本项目在不增加污染物排放总量并严格控制环境风险的前提下进行迁、改建，并须按限制类项目准入要求经管委会“一事一议”审批通过后，方能符合规划环评要求</w:t>
      </w:r>
      <w:r>
        <w:rPr>
          <w:sz w:val="24"/>
          <w:szCs w:val="24"/>
        </w:rPr>
        <w:t>。</w:t>
      </w:r>
    </w:p>
    <w:bookmarkEnd w:id="8"/>
    <w:p w14:paraId="5729DF75">
      <w:pPr>
        <w:spacing w:line="360" w:lineRule="auto"/>
        <w:ind w:firstLine="482" w:firstLineChars="200"/>
        <w:rPr>
          <w:b/>
          <w:sz w:val="24"/>
          <w:szCs w:val="24"/>
        </w:rPr>
      </w:pPr>
      <w:r>
        <w:rPr>
          <w:b/>
          <w:sz w:val="24"/>
          <w:szCs w:val="24"/>
        </w:rPr>
        <w:t>6、环境标准清单符合性分析</w:t>
      </w:r>
    </w:p>
    <w:p w14:paraId="7C6E741A">
      <w:pPr>
        <w:numPr>
          <w:ilvl w:val="0"/>
          <w:numId w:val="21"/>
        </w:numPr>
        <w:adjustRightInd w:val="0"/>
        <w:snapToGrid w:val="0"/>
        <w:spacing w:before="156" w:beforeLines="50"/>
        <w:jc w:val="center"/>
        <w:rPr>
          <w:b/>
          <w:lang w:val="zh-CN"/>
        </w:rPr>
      </w:pPr>
      <w:r>
        <w:rPr>
          <w:b/>
          <w:lang w:val="zh-CN"/>
        </w:rPr>
        <w:t>环境标准清单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97"/>
        <w:gridCol w:w="801"/>
        <w:gridCol w:w="6303"/>
        <w:gridCol w:w="761"/>
      </w:tblGrid>
      <w:tr w14:paraId="15CA34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3468F92A">
            <w:pPr>
              <w:jc w:val="center"/>
              <w:rPr>
                <w:sz w:val="18"/>
                <w:szCs w:val="18"/>
              </w:rPr>
            </w:pPr>
            <w:r>
              <w:rPr>
                <w:sz w:val="18"/>
                <w:szCs w:val="18"/>
              </w:rPr>
              <w:t>序号</w:t>
            </w:r>
          </w:p>
        </w:tc>
        <w:tc>
          <w:tcPr>
            <w:tcW w:w="479" w:type="pct"/>
            <w:vAlign w:val="center"/>
          </w:tcPr>
          <w:p w14:paraId="3A2B9381">
            <w:pPr>
              <w:jc w:val="center"/>
              <w:rPr>
                <w:sz w:val="18"/>
                <w:szCs w:val="18"/>
              </w:rPr>
            </w:pPr>
            <w:r>
              <w:rPr>
                <w:sz w:val="18"/>
                <w:szCs w:val="18"/>
              </w:rPr>
              <w:t>类别</w:t>
            </w:r>
          </w:p>
        </w:tc>
        <w:tc>
          <w:tcPr>
            <w:tcW w:w="3768" w:type="pct"/>
            <w:vAlign w:val="center"/>
          </w:tcPr>
          <w:p w14:paraId="34C68E23">
            <w:pPr>
              <w:jc w:val="center"/>
              <w:rPr>
                <w:sz w:val="18"/>
                <w:szCs w:val="18"/>
              </w:rPr>
            </w:pPr>
            <w:r>
              <w:rPr>
                <w:sz w:val="18"/>
                <w:szCs w:val="18"/>
              </w:rPr>
              <w:t>主要内容</w:t>
            </w:r>
          </w:p>
        </w:tc>
        <w:tc>
          <w:tcPr>
            <w:tcW w:w="455" w:type="pct"/>
            <w:vAlign w:val="center"/>
          </w:tcPr>
          <w:p w14:paraId="40479920">
            <w:pPr>
              <w:jc w:val="center"/>
              <w:rPr>
                <w:sz w:val="18"/>
                <w:szCs w:val="18"/>
              </w:rPr>
            </w:pPr>
            <w:r>
              <w:rPr>
                <w:sz w:val="18"/>
                <w:szCs w:val="18"/>
              </w:rPr>
              <w:t>符合性</w:t>
            </w:r>
          </w:p>
        </w:tc>
      </w:tr>
      <w:tr w14:paraId="23BB97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restart"/>
            <w:vAlign w:val="center"/>
          </w:tcPr>
          <w:p w14:paraId="094323A4">
            <w:pPr>
              <w:jc w:val="center"/>
              <w:rPr>
                <w:sz w:val="18"/>
                <w:szCs w:val="18"/>
              </w:rPr>
            </w:pPr>
            <w:r>
              <w:rPr>
                <w:sz w:val="18"/>
                <w:szCs w:val="18"/>
              </w:rPr>
              <w:t>1</w:t>
            </w:r>
          </w:p>
        </w:tc>
        <w:tc>
          <w:tcPr>
            <w:tcW w:w="479" w:type="pct"/>
            <w:vMerge w:val="restart"/>
            <w:vAlign w:val="center"/>
          </w:tcPr>
          <w:p w14:paraId="6FBAFA61">
            <w:pPr>
              <w:jc w:val="center"/>
              <w:rPr>
                <w:sz w:val="18"/>
                <w:szCs w:val="18"/>
              </w:rPr>
            </w:pPr>
            <w:r>
              <w:rPr>
                <w:sz w:val="18"/>
                <w:szCs w:val="18"/>
              </w:rPr>
              <w:t>空间准入标准</w:t>
            </w:r>
          </w:p>
        </w:tc>
        <w:tc>
          <w:tcPr>
            <w:tcW w:w="3768" w:type="pct"/>
            <w:vAlign w:val="center"/>
          </w:tcPr>
          <w:p w14:paraId="73245718">
            <w:pPr>
              <w:rPr>
                <w:b/>
                <w:sz w:val="18"/>
                <w:szCs w:val="18"/>
              </w:rPr>
            </w:pPr>
            <w:r>
              <w:rPr>
                <w:b/>
                <w:kern w:val="0"/>
                <w:sz w:val="18"/>
                <w:szCs w:val="18"/>
              </w:rPr>
              <w:t>余杭区杭州余杭经济技术开发区产业集聚重点管控单ZH33011020007</w:t>
            </w:r>
          </w:p>
          <w:p w14:paraId="542E174C">
            <w:pPr>
              <w:rPr>
                <w:sz w:val="18"/>
                <w:szCs w:val="18"/>
              </w:rPr>
            </w:pPr>
            <w:r>
              <w:rPr>
                <w:b/>
                <w:sz w:val="18"/>
                <w:szCs w:val="18"/>
              </w:rPr>
              <w:t>空间布局约束：</w:t>
            </w:r>
            <w:r>
              <w:rPr>
                <w:sz w:val="18"/>
                <w:szCs w:val="18"/>
              </w:rPr>
              <w:t>根据产业集聚区块的功能定位，建立分区差别化的产业准入条件。合理规划居住区与工业功能区，在居住区和工业区、工业企业之间设置防护绿地、生活绿地等隔离带。</w:t>
            </w:r>
          </w:p>
          <w:p w14:paraId="0740A7E3">
            <w:pPr>
              <w:rPr>
                <w:b/>
                <w:sz w:val="18"/>
                <w:szCs w:val="18"/>
              </w:rPr>
            </w:pPr>
            <w:r>
              <w:rPr>
                <w:b/>
                <w:sz w:val="18"/>
                <w:szCs w:val="18"/>
              </w:rPr>
              <w:t>污染排放管控：</w:t>
            </w:r>
            <w:r>
              <w:rPr>
                <w:sz w:val="18"/>
                <w:szCs w:val="18"/>
              </w:rPr>
              <w:t>严格实施污染物总量控制制度，根据区域环境质量改善目标，削减污染物排放总量。所有企业实现雨污分流。</w:t>
            </w:r>
          </w:p>
          <w:p w14:paraId="56756ACF">
            <w:pPr>
              <w:rPr>
                <w:sz w:val="18"/>
                <w:szCs w:val="18"/>
              </w:rPr>
            </w:pPr>
            <w:r>
              <w:rPr>
                <w:b/>
                <w:sz w:val="18"/>
                <w:szCs w:val="18"/>
              </w:rPr>
              <w:t>环境风险防控：</w:t>
            </w:r>
            <w:r>
              <w:rPr>
                <w:sz w:val="18"/>
                <w:szCs w:val="18"/>
              </w:rPr>
              <w:t>强化工业集聚区企业环境风险防范设施设备建设和正常运行监管，加强重点环境风险管控企业应急预案制定，建立常态化的企业隐患排查整治监管机制，加强风险防控体系建设。</w:t>
            </w:r>
          </w:p>
        </w:tc>
        <w:tc>
          <w:tcPr>
            <w:tcW w:w="455" w:type="pct"/>
            <w:vAlign w:val="center"/>
          </w:tcPr>
          <w:p w14:paraId="718F5BA4">
            <w:pPr>
              <w:rPr>
                <w:sz w:val="18"/>
                <w:szCs w:val="18"/>
              </w:rPr>
            </w:pPr>
            <w:r>
              <w:rPr>
                <w:sz w:val="18"/>
                <w:szCs w:val="18"/>
              </w:rPr>
              <w:t>符合。</w:t>
            </w:r>
          </w:p>
        </w:tc>
      </w:tr>
      <w:tr w14:paraId="6FD619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continue"/>
            <w:vAlign w:val="center"/>
          </w:tcPr>
          <w:p w14:paraId="6EB457BF">
            <w:pPr>
              <w:jc w:val="center"/>
              <w:rPr>
                <w:sz w:val="18"/>
                <w:szCs w:val="18"/>
              </w:rPr>
            </w:pPr>
          </w:p>
        </w:tc>
        <w:tc>
          <w:tcPr>
            <w:tcW w:w="479" w:type="pct"/>
            <w:vMerge w:val="continue"/>
            <w:vAlign w:val="center"/>
          </w:tcPr>
          <w:p w14:paraId="179721F1">
            <w:pPr>
              <w:jc w:val="center"/>
              <w:rPr>
                <w:sz w:val="18"/>
                <w:szCs w:val="18"/>
              </w:rPr>
            </w:pPr>
          </w:p>
        </w:tc>
        <w:tc>
          <w:tcPr>
            <w:tcW w:w="3768" w:type="pct"/>
            <w:vAlign w:val="center"/>
          </w:tcPr>
          <w:p w14:paraId="1BFDCF3A">
            <w:pPr>
              <w:rPr>
                <w:b/>
                <w:kern w:val="0"/>
                <w:sz w:val="18"/>
                <w:szCs w:val="18"/>
              </w:rPr>
            </w:pPr>
            <w:r>
              <w:rPr>
                <w:b/>
                <w:sz w:val="18"/>
                <w:szCs w:val="18"/>
              </w:rPr>
              <w:t>环境准入条件清单：</w:t>
            </w:r>
            <w:r>
              <w:rPr>
                <w:bCs/>
                <w:kern w:val="0"/>
                <w:sz w:val="18"/>
                <w:szCs w:val="18"/>
              </w:rPr>
              <w:t>具体详见清单5环境准入条件清单。</w:t>
            </w:r>
          </w:p>
        </w:tc>
        <w:tc>
          <w:tcPr>
            <w:tcW w:w="455" w:type="pct"/>
            <w:vAlign w:val="center"/>
          </w:tcPr>
          <w:p w14:paraId="7303B225">
            <w:pPr>
              <w:rPr>
                <w:sz w:val="18"/>
                <w:szCs w:val="18"/>
              </w:rPr>
            </w:pPr>
          </w:p>
        </w:tc>
      </w:tr>
      <w:tr w14:paraId="17C69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03A1BD0F">
            <w:pPr>
              <w:jc w:val="center"/>
              <w:rPr>
                <w:sz w:val="18"/>
                <w:szCs w:val="18"/>
              </w:rPr>
            </w:pPr>
            <w:r>
              <w:rPr>
                <w:sz w:val="18"/>
                <w:szCs w:val="18"/>
              </w:rPr>
              <w:t>2</w:t>
            </w:r>
          </w:p>
        </w:tc>
        <w:tc>
          <w:tcPr>
            <w:tcW w:w="479" w:type="pct"/>
            <w:vAlign w:val="center"/>
          </w:tcPr>
          <w:p w14:paraId="6EDEA942">
            <w:pPr>
              <w:jc w:val="center"/>
              <w:rPr>
                <w:sz w:val="18"/>
                <w:szCs w:val="18"/>
              </w:rPr>
            </w:pPr>
            <w:r>
              <w:rPr>
                <w:sz w:val="18"/>
                <w:szCs w:val="18"/>
              </w:rPr>
              <w:t>污染物排放标准</w:t>
            </w:r>
          </w:p>
        </w:tc>
        <w:tc>
          <w:tcPr>
            <w:tcW w:w="3768" w:type="pct"/>
            <w:vAlign w:val="center"/>
          </w:tcPr>
          <w:p w14:paraId="6F104DBF">
            <w:pPr>
              <w:rPr>
                <w:bCs/>
                <w:kern w:val="0"/>
                <w:sz w:val="18"/>
                <w:szCs w:val="18"/>
              </w:rPr>
            </w:pPr>
            <w:r>
              <w:rPr>
                <w:b/>
                <w:bCs/>
                <w:kern w:val="0"/>
                <w:sz w:val="18"/>
                <w:szCs w:val="18"/>
              </w:rPr>
              <w:t>废水：</w:t>
            </w:r>
            <w:r>
              <w:rPr>
                <w:rFonts w:hint="eastAsia" w:ascii="宋体" w:hAnsi="宋体" w:cs="宋体"/>
                <w:bCs/>
                <w:kern w:val="0"/>
                <w:sz w:val="18"/>
                <w:szCs w:val="18"/>
              </w:rPr>
              <w:t>①</w:t>
            </w:r>
            <w:r>
              <w:rPr>
                <w:bCs/>
                <w:kern w:val="0"/>
                <w:sz w:val="18"/>
                <w:szCs w:val="18"/>
              </w:rPr>
              <w:t>综合排放标准：纳管废水执行《污水综合排放标准》(GB8978-1996)表4中的三级标准，其中工业废水中氨氮、总磷参照执行《工业企业废水氮、磷污染物间接排放限值》(DB33/887-2013)，非工业废水中氨氮、总磷参照执行《污水排入城镇下水道水质标准》(GB/T31962-2015)。临平净水厂、塘栖污水处理厂现状尾水排放执行《城镇污水处理厂污染物排放标准》(GB18918-2002)中的一级A标准，待清洁排放技术改造完成后应执行《城镇污水处理厂主要水污染物排放标准》(DB33/2169-2018)中表1标准；拟建的临平北污水厂尾水排放执行《城镇污水处理厂主要水污染物排放标准》(DB33/2169-2018)中表2标准。</w:t>
            </w:r>
          </w:p>
          <w:p w14:paraId="5F83937E">
            <w:pPr>
              <w:rPr>
                <w:bCs/>
                <w:kern w:val="0"/>
                <w:sz w:val="18"/>
                <w:szCs w:val="18"/>
              </w:rPr>
            </w:pPr>
            <w:r>
              <w:rPr>
                <w:rFonts w:hint="eastAsia" w:ascii="宋体" w:hAnsi="宋体" w:cs="宋体"/>
                <w:bCs/>
                <w:kern w:val="0"/>
                <w:sz w:val="18"/>
                <w:szCs w:val="18"/>
              </w:rPr>
              <w:t>②</w:t>
            </w:r>
            <w:r>
              <w:rPr>
                <w:bCs/>
                <w:kern w:val="0"/>
                <w:sz w:val="18"/>
                <w:szCs w:val="18"/>
              </w:rPr>
              <w:t>行业排放标准：化学合成类制药企业废水排放执行《化学合成类制药工业水污染物排放标准》(GB21904-2008)；生物制药企业废水排放执行《生物制药工业污染物排放标准》(DB33/923-2014)；纺织染整企业废水排放执行《纺织染整工业水污染物排放标准》(GB4287-2012)及其修改单；合成树脂企业废水排放执行《合成树脂工业污染物排放标准》(GB31572-2015)；电池工业企业废水排放执行《电池工业污染物排放标准》(GB30484-2013)。</w:t>
            </w:r>
          </w:p>
          <w:p w14:paraId="55BE3365">
            <w:pPr>
              <w:rPr>
                <w:bCs/>
                <w:kern w:val="0"/>
                <w:sz w:val="18"/>
                <w:szCs w:val="18"/>
              </w:rPr>
            </w:pPr>
            <w:r>
              <w:rPr>
                <w:b/>
                <w:bCs/>
                <w:kern w:val="0"/>
                <w:sz w:val="18"/>
                <w:szCs w:val="18"/>
              </w:rPr>
              <w:t>废气；</w:t>
            </w:r>
            <w:r>
              <w:rPr>
                <w:rFonts w:hint="eastAsia" w:ascii="宋体" w:hAnsi="宋体" w:cs="宋体"/>
                <w:bCs/>
                <w:kern w:val="0"/>
                <w:sz w:val="18"/>
                <w:szCs w:val="18"/>
              </w:rPr>
              <w:t>①</w:t>
            </w:r>
            <w:r>
              <w:rPr>
                <w:bCs/>
                <w:kern w:val="0"/>
                <w:sz w:val="18"/>
                <w:szCs w:val="18"/>
              </w:rPr>
              <w:t>综合排放标准：企业工艺废气污染物排放执行《大气污染物综合排放标准》(GB16297-1996)中的二级标准，GB16297-1996中无标准限值的，根据环函[2003]363号，有组织废气排放浓度参照执行《工作场所有害因素职业接触限值化学有害因素》(GBZ2.1-2007)中8小时加权平均容许浓度，场界无组织监控浓度按照居住区标准的4倍执行；氨气、硫化氢等恶臭污染物以及无量纲恶臭排放执行《恶臭污染物排放标准》(GB14554-93)中的新改扩建二级标准；企业自备锅炉废气排放执行《锅炉大气污染物排放标准》(GB13271-2014)中表3规定的大气污染物特别排放限值，工业炉窑废气排放按照《浙江省工业炉窑大气污染综合治理实施方案》(浙环函[2019]315号)要求执行，原则上按照颗粒物、二氧化硫、氮氧化物排放限值分别不高于30、200、300mg/m</w:t>
            </w:r>
            <w:r>
              <w:rPr>
                <w:bCs/>
                <w:kern w:val="0"/>
                <w:sz w:val="18"/>
                <w:szCs w:val="18"/>
                <w:vertAlign w:val="superscript"/>
              </w:rPr>
              <w:t>3</w:t>
            </w:r>
            <w:r>
              <w:rPr>
                <w:bCs/>
                <w:kern w:val="0"/>
                <w:sz w:val="18"/>
                <w:szCs w:val="18"/>
              </w:rPr>
              <w:t>；厂区内的VOCs无组织排放监控点浓度执行《挥发性有机物无组织排放控制标准》(GB37822-2019)中表A.1规定的特别排放限值。</w:t>
            </w:r>
          </w:p>
          <w:p w14:paraId="7CC695BC">
            <w:pPr>
              <w:rPr>
                <w:bCs/>
                <w:kern w:val="0"/>
                <w:sz w:val="18"/>
                <w:szCs w:val="18"/>
              </w:rPr>
            </w:pPr>
            <w:r>
              <w:rPr>
                <w:rFonts w:hint="eastAsia" w:ascii="宋体" w:hAnsi="宋体" w:cs="宋体"/>
                <w:bCs/>
                <w:kern w:val="0"/>
                <w:sz w:val="18"/>
                <w:szCs w:val="18"/>
              </w:rPr>
              <w:t>②</w:t>
            </w:r>
            <w:r>
              <w:rPr>
                <w:bCs/>
                <w:kern w:val="0"/>
                <w:sz w:val="18"/>
                <w:szCs w:val="18"/>
              </w:rPr>
              <w:t>行业排放标准：化学合成类制药企业废气排放执行《化学合成类制药工业大气污染物排放标准》(DB33/2015-2016)；生物制药类企业废气排放执行《生物制药工业污染物排放标准》(DB33/923-2014)；纺织染整企业废气排放执行《纺织染整工业大气污染物排放标准》(DB33/962-2015)；合成树脂企业废气排放执行《合成树脂工业污染物排放标准》(GB31572-2015)；电池工业企业废气排放执行《电池工业污染物排放标准》(GB30484-2013)；工业涂装工序废气污染物排放执行《工业涂装工序大气污染物排放标准》(DB33/2146-2018)；泛能网项目燃气轮机组废气排放执行《火电厂大气污染物排放标准》(GB13223-2011)，燃气锅炉(单台出力65t/h以下)废气排放执行《锅炉大气污染物排放标准》(GB13271-2014)；涉及国家排放标准中特别排放限值的行业，按照《浙江省生态环境厅关于执行国家排放标准大气污染物特别排放限值的通告》(浙环发[2019]14号)执行。</w:t>
            </w:r>
          </w:p>
          <w:p w14:paraId="696B4AA6">
            <w:pPr>
              <w:rPr>
                <w:bCs/>
                <w:kern w:val="0"/>
                <w:sz w:val="18"/>
                <w:szCs w:val="18"/>
              </w:rPr>
            </w:pPr>
            <w:r>
              <w:rPr>
                <w:rFonts w:hint="eastAsia" w:ascii="宋体" w:hAnsi="宋体" w:cs="宋体"/>
                <w:bCs/>
                <w:kern w:val="0"/>
                <w:sz w:val="18"/>
                <w:szCs w:val="18"/>
              </w:rPr>
              <w:t>③</w:t>
            </w:r>
            <w:r>
              <w:rPr>
                <w:bCs/>
                <w:kern w:val="0"/>
                <w:sz w:val="18"/>
                <w:szCs w:val="18"/>
              </w:rPr>
              <w:t>生活源废气排放标准：宾馆、酒店等自备锅炉燃料废气排放执行《锅炉大气污染物排放标准》(GB13271-2014)；餐饮业单位及企事业单位食堂油烟废气排放执行《饮食业油烟排放标准(试行)》(GB18483-2001)。</w:t>
            </w:r>
          </w:p>
          <w:p w14:paraId="541BBE29">
            <w:pPr>
              <w:rPr>
                <w:bCs/>
                <w:kern w:val="0"/>
                <w:sz w:val="18"/>
                <w:szCs w:val="18"/>
              </w:rPr>
            </w:pPr>
            <w:r>
              <w:rPr>
                <w:b/>
                <w:bCs/>
                <w:kern w:val="0"/>
                <w:sz w:val="18"/>
                <w:szCs w:val="18"/>
              </w:rPr>
              <w:t>噪声：</w:t>
            </w:r>
            <w:r>
              <w:rPr>
                <w:rFonts w:hint="eastAsia" w:ascii="宋体" w:hAnsi="宋体" w:cs="宋体"/>
                <w:bCs/>
                <w:kern w:val="0"/>
                <w:sz w:val="18"/>
                <w:szCs w:val="18"/>
              </w:rPr>
              <w:t>①</w:t>
            </w:r>
            <w:r>
              <w:rPr>
                <w:bCs/>
                <w:kern w:val="0"/>
                <w:sz w:val="18"/>
                <w:szCs w:val="18"/>
              </w:rPr>
              <w:t>工业企业：工业企业厂界环境噪声排放执行《工业企业厂界环境噪声排放标准》(GB12348-2008)；</w:t>
            </w:r>
          </w:p>
          <w:p w14:paraId="475B0E66">
            <w:pPr>
              <w:rPr>
                <w:bCs/>
                <w:kern w:val="0"/>
                <w:sz w:val="18"/>
                <w:szCs w:val="18"/>
              </w:rPr>
            </w:pPr>
            <w:r>
              <w:rPr>
                <w:rFonts w:hint="eastAsia" w:ascii="宋体" w:hAnsi="宋体" w:cs="宋体"/>
                <w:bCs/>
                <w:kern w:val="0"/>
                <w:sz w:val="18"/>
                <w:szCs w:val="18"/>
              </w:rPr>
              <w:t>②</w:t>
            </w:r>
            <w:r>
              <w:rPr>
                <w:bCs/>
                <w:kern w:val="0"/>
                <w:sz w:val="18"/>
                <w:szCs w:val="18"/>
              </w:rPr>
              <w:t>社会生活：营业性文化娱乐场所、商业经营活动中使用的向环境排放噪声的设备、设施产生的噪声执行《社会生活环境噪声排放标准》(GB22337-2008)；</w:t>
            </w:r>
          </w:p>
          <w:p w14:paraId="0B44414A">
            <w:pPr>
              <w:rPr>
                <w:bCs/>
                <w:kern w:val="0"/>
                <w:sz w:val="18"/>
                <w:szCs w:val="18"/>
              </w:rPr>
            </w:pPr>
            <w:r>
              <w:rPr>
                <w:rFonts w:hint="eastAsia" w:ascii="宋体" w:hAnsi="宋体" w:cs="宋体"/>
                <w:bCs/>
                <w:kern w:val="0"/>
                <w:sz w:val="18"/>
                <w:szCs w:val="18"/>
              </w:rPr>
              <w:t>③</w:t>
            </w:r>
            <w:r>
              <w:rPr>
                <w:bCs/>
                <w:kern w:val="0"/>
                <w:sz w:val="18"/>
                <w:szCs w:val="18"/>
              </w:rPr>
              <w:t>建筑施工：施工期噪声执行《建筑施工场界环境噪声排放标准》(GB12523-2011)。</w:t>
            </w:r>
          </w:p>
          <w:p w14:paraId="54896C61">
            <w:pPr>
              <w:rPr>
                <w:bCs/>
                <w:kern w:val="0"/>
                <w:sz w:val="18"/>
                <w:szCs w:val="18"/>
              </w:rPr>
            </w:pPr>
            <w:bookmarkStart w:id="9" w:name="_Hlk80086447"/>
            <w:r>
              <w:rPr>
                <w:b/>
                <w:bCs/>
                <w:kern w:val="0"/>
                <w:sz w:val="18"/>
                <w:szCs w:val="18"/>
              </w:rPr>
              <w:t>固废：</w:t>
            </w:r>
            <w:r>
              <w:rPr>
                <w:rFonts w:hint="eastAsia" w:ascii="宋体" w:hAnsi="宋体" w:cs="宋体"/>
                <w:bCs/>
                <w:kern w:val="0"/>
                <w:sz w:val="18"/>
                <w:szCs w:val="18"/>
              </w:rPr>
              <w:t>①</w:t>
            </w:r>
            <w:r>
              <w:rPr>
                <w:bCs/>
                <w:kern w:val="0"/>
                <w:sz w:val="18"/>
                <w:szCs w:val="18"/>
              </w:rPr>
              <w:t>固体废物鉴别执行《固体废物鉴别标准通则》(GB34330-2017)；</w:t>
            </w:r>
          </w:p>
          <w:p w14:paraId="370F9D6E">
            <w:pPr>
              <w:rPr>
                <w:bCs/>
                <w:kern w:val="0"/>
                <w:sz w:val="18"/>
                <w:szCs w:val="18"/>
              </w:rPr>
            </w:pPr>
            <w:r>
              <w:rPr>
                <w:rFonts w:hint="eastAsia" w:ascii="宋体" w:hAnsi="宋体" w:cs="宋体"/>
                <w:bCs/>
                <w:kern w:val="0"/>
                <w:sz w:val="18"/>
                <w:szCs w:val="18"/>
              </w:rPr>
              <w:t>②</w:t>
            </w:r>
            <w:r>
              <w:rPr>
                <w:bCs/>
                <w:kern w:val="0"/>
                <w:sz w:val="18"/>
                <w:szCs w:val="18"/>
              </w:rPr>
              <w:t>一般工业固体废物厂内暂存、处置执行《一般工业固体废物贮存、处置污染控制标准》(GB18599-2001)及修改单；</w:t>
            </w:r>
          </w:p>
          <w:p w14:paraId="6D1756C8">
            <w:pPr>
              <w:rPr>
                <w:bCs/>
                <w:kern w:val="0"/>
                <w:sz w:val="18"/>
                <w:szCs w:val="18"/>
              </w:rPr>
            </w:pPr>
            <w:r>
              <w:rPr>
                <w:rFonts w:hint="eastAsia" w:ascii="宋体" w:hAnsi="宋体" w:cs="宋体"/>
                <w:bCs/>
                <w:kern w:val="0"/>
                <w:sz w:val="18"/>
                <w:szCs w:val="18"/>
              </w:rPr>
              <w:t>③</w:t>
            </w:r>
            <w:r>
              <w:rPr>
                <w:bCs/>
                <w:kern w:val="0"/>
                <w:sz w:val="18"/>
                <w:szCs w:val="18"/>
              </w:rPr>
              <w:t>危险废物厂内暂存执行《危险废物贮存污染控制标准》(GB18597-2001)及修改单；</w:t>
            </w:r>
          </w:p>
          <w:p w14:paraId="33691DFC">
            <w:pPr>
              <w:rPr>
                <w:bCs/>
                <w:kern w:val="0"/>
                <w:sz w:val="18"/>
                <w:szCs w:val="18"/>
              </w:rPr>
            </w:pPr>
            <w:r>
              <w:rPr>
                <w:rFonts w:hint="eastAsia" w:ascii="宋体" w:hAnsi="宋体" w:cs="宋体"/>
                <w:bCs/>
                <w:kern w:val="0"/>
                <w:sz w:val="18"/>
                <w:szCs w:val="18"/>
              </w:rPr>
              <w:t>④</w:t>
            </w:r>
            <w:r>
              <w:rPr>
                <w:bCs/>
                <w:kern w:val="0"/>
                <w:sz w:val="18"/>
                <w:szCs w:val="18"/>
              </w:rPr>
              <w:t>危险废物处置执行《危险废物填埋污染控制标准》(GB18598-2001)或《危险废物焚烧污染控制标准》(GB18484-2001)等有关规定</w:t>
            </w:r>
            <w:bookmarkEnd w:id="9"/>
            <w:r>
              <w:rPr>
                <w:bCs/>
                <w:kern w:val="0"/>
                <w:sz w:val="18"/>
                <w:szCs w:val="18"/>
              </w:rPr>
              <w:t>。</w:t>
            </w:r>
          </w:p>
        </w:tc>
        <w:tc>
          <w:tcPr>
            <w:tcW w:w="455" w:type="pct"/>
            <w:vAlign w:val="center"/>
          </w:tcPr>
          <w:p w14:paraId="62B0129A">
            <w:pPr>
              <w:rPr>
                <w:sz w:val="18"/>
                <w:szCs w:val="18"/>
              </w:rPr>
            </w:pPr>
            <w:r>
              <w:rPr>
                <w:sz w:val="18"/>
                <w:szCs w:val="18"/>
              </w:rPr>
              <w:t>符合。项目污染物采取相应措施后可达到相应标准限值要求。</w:t>
            </w:r>
          </w:p>
        </w:tc>
      </w:tr>
      <w:tr w14:paraId="289390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38B99478">
            <w:pPr>
              <w:jc w:val="center"/>
              <w:rPr>
                <w:sz w:val="18"/>
                <w:szCs w:val="18"/>
              </w:rPr>
            </w:pPr>
            <w:r>
              <w:rPr>
                <w:sz w:val="18"/>
                <w:szCs w:val="18"/>
              </w:rPr>
              <w:t>3</w:t>
            </w:r>
          </w:p>
        </w:tc>
        <w:tc>
          <w:tcPr>
            <w:tcW w:w="479" w:type="pct"/>
            <w:vAlign w:val="center"/>
          </w:tcPr>
          <w:p w14:paraId="42819E01">
            <w:pPr>
              <w:jc w:val="center"/>
              <w:rPr>
                <w:sz w:val="18"/>
                <w:szCs w:val="18"/>
              </w:rPr>
            </w:pPr>
            <w:r>
              <w:rPr>
                <w:sz w:val="18"/>
                <w:szCs w:val="18"/>
              </w:rPr>
              <w:t>环境质量管控标准</w:t>
            </w:r>
          </w:p>
        </w:tc>
        <w:tc>
          <w:tcPr>
            <w:tcW w:w="3768" w:type="pct"/>
            <w:vAlign w:val="center"/>
          </w:tcPr>
          <w:p w14:paraId="0197611C">
            <w:pPr>
              <w:rPr>
                <w:bCs/>
                <w:kern w:val="0"/>
                <w:sz w:val="18"/>
                <w:szCs w:val="18"/>
              </w:rPr>
            </w:pPr>
            <w:r>
              <w:rPr>
                <w:b/>
                <w:bCs/>
                <w:kern w:val="0"/>
                <w:sz w:val="18"/>
                <w:szCs w:val="18"/>
              </w:rPr>
              <w:t>污染物排放总量管控限值：</w:t>
            </w:r>
            <w:r>
              <w:rPr>
                <w:rFonts w:hint="eastAsia" w:ascii="宋体" w:hAnsi="宋体" w:cs="宋体"/>
                <w:bCs/>
                <w:kern w:val="0"/>
                <w:sz w:val="18"/>
                <w:szCs w:val="18"/>
              </w:rPr>
              <w:t>①</w:t>
            </w:r>
            <w:r>
              <w:rPr>
                <w:bCs/>
                <w:kern w:val="0"/>
                <w:sz w:val="18"/>
                <w:szCs w:val="18"/>
              </w:rPr>
              <w:t>水污染物总量管控限值：COD</w:t>
            </w:r>
            <w:r>
              <w:rPr>
                <w:bCs/>
                <w:kern w:val="0"/>
                <w:sz w:val="18"/>
                <w:szCs w:val="18"/>
                <w:vertAlign w:val="subscript"/>
              </w:rPr>
              <w:t>Cr</w:t>
            </w:r>
            <w:r>
              <w:rPr>
                <w:bCs/>
                <w:kern w:val="0"/>
                <w:sz w:val="18"/>
                <w:szCs w:val="18"/>
              </w:rPr>
              <w:t>1821.25t/a，NH</w:t>
            </w:r>
            <w:r>
              <w:rPr>
                <w:bCs/>
                <w:kern w:val="0"/>
                <w:sz w:val="18"/>
                <w:szCs w:val="18"/>
                <w:vertAlign w:val="subscript"/>
              </w:rPr>
              <w:t>3</w:t>
            </w:r>
            <w:r>
              <w:rPr>
                <w:bCs/>
                <w:kern w:val="0"/>
                <w:sz w:val="18"/>
                <w:szCs w:val="18"/>
              </w:rPr>
              <w:t>-N185.33t/a，TP19.11t/a；</w:t>
            </w:r>
          </w:p>
          <w:p w14:paraId="2775335C">
            <w:pPr>
              <w:rPr>
                <w:bCs/>
                <w:kern w:val="0"/>
                <w:sz w:val="18"/>
                <w:szCs w:val="18"/>
              </w:rPr>
            </w:pPr>
            <w:r>
              <w:rPr>
                <w:rFonts w:hint="eastAsia" w:ascii="宋体" w:hAnsi="宋体" w:cs="宋体"/>
                <w:bCs/>
                <w:kern w:val="0"/>
                <w:sz w:val="18"/>
                <w:szCs w:val="18"/>
              </w:rPr>
              <w:t>②</w:t>
            </w:r>
            <w:r>
              <w:rPr>
                <w:bCs/>
                <w:kern w:val="0"/>
                <w:sz w:val="18"/>
                <w:szCs w:val="18"/>
              </w:rPr>
              <w:t>大气污染物总量管控限值：SO</w:t>
            </w:r>
            <w:r>
              <w:rPr>
                <w:bCs/>
                <w:kern w:val="0"/>
                <w:sz w:val="18"/>
                <w:szCs w:val="18"/>
                <w:vertAlign w:val="subscript"/>
              </w:rPr>
              <w:t>2</w:t>
            </w:r>
            <w:r>
              <w:rPr>
                <w:bCs/>
                <w:kern w:val="0"/>
                <w:sz w:val="18"/>
                <w:szCs w:val="18"/>
              </w:rPr>
              <w:t>56.32t/a，NO</w:t>
            </w:r>
            <w:r>
              <w:rPr>
                <w:bCs/>
                <w:kern w:val="0"/>
                <w:sz w:val="18"/>
                <w:szCs w:val="18"/>
                <w:vertAlign w:val="subscript"/>
              </w:rPr>
              <w:t>x</w:t>
            </w:r>
            <w:r>
              <w:rPr>
                <w:bCs/>
                <w:kern w:val="0"/>
                <w:sz w:val="18"/>
                <w:szCs w:val="18"/>
              </w:rPr>
              <w:t>473.88t/a，烟粉尘</w:t>
            </w:r>
            <w:r>
              <w:rPr>
                <w:sz w:val="18"/>
                <w:szCs w:val="18"/>
              </w:rPr>
              <w:t>340.10</w:t>
            </w:r>
            <w:r>
              <w:rPr>
                <w:bCs/>
                <w:kern w:val="0"/>
                <w:sz w:val="18"/>
                <w:szCs w:val="18"/>
              </w:rPr>
              <w:t>t/a，VOCs</w:t>
            </w:r>
            <w:r>
              <w:rPr>
                <w:sz w:val="18"/>
                <w:szCs w:val="18"/>
              </w:rPr>
              <w:t>1031.56</w:t>
            </w:r>
            <w:r>
              <w:rPr>
                <w:bCs/>
                <w:kern w:val="0"/>
                <w:sz w:val="18"/>
                <w:szCs w:val="18"/>
              </w:rPr>
              <w:t>t/a；</w:t>
            </w:r>
          </w:p>
          <w:p w14:paraId="56400F23">
            <w:pPr>
              <w:rPr>
                <w:bCs/>
                <w:kern w:val="0"/>
                <w:sz w:val="18"/>
                <w:szCs w:val="18"/>
              </w:rPr>
            </w:pPr>
            <w:r>
              <w:rPr>
                <w:rFonts w:hint="eastAsia" w:ascii="宋体" w:hAnsi="宋体" w:cs="宋体"/>
                <w:bCs/>
                <w:kern w:val="0"/>
                <w:sz w:val="18"/>
                <w:szCs w:val="18"/>
              </w:rPr>
              <w:t>③</w:t>
            </w:r>
            <w:r>
              <w:rPr>
                <w:bCs/>
                <w:kern w:val="0"/>
                <w:sz w:val="18"/>
                <w:szCs w:val="18"/>
              </w:rPr>
              <w:t>危险废物总量管控限值：1.77万t/a。</w:t>
            </w:r>
          </w:p>
          <w:p w14:paraId="72919854">
            <w:pPr>
              <w:rPr>
                <w:bCs/>
                <w:kern w:val="0"/>
                <w:sz w:val="18"/>
                <w:szCs w:val="18"/>
              </w:rPr>
            </w:pPr>
            <w:r>
              <w:rPr>
                <w:b/>
                <w:bCs/>
                <w:kern w:val="0"/>
                <w:sz w:val="18"/>
                <w:szCs w:val="18"/>
              </w:rPr>
              <w:t>大气环境</w:t>
            </w:r>
            <w:r>
              <w:rPr>
                <w:bCs/>
                <w:kern w:val="0"/>
                <w:sz w:val="18"/>
                <w:szCs w:val="18"/>
              </w:rPr>
              <w:t>：基本污染物执行《环境空气质量标准》(GB3095-2012)及其修改单中的二级标准；对于GB3095-2012中无规划的特殊空气污染物，参照执行《环境影响评价技术导则大气环境》(HJ2.2-2018)中附录D其他污染物空气质量浓度参考限值，该附录中没有规定的参照执行前苏联CH-145-71居民区大气中有害物质的最大允许浓度，非甲烷总烃以《大气污染物综合排放标准详解》中Cm取值规定作为质量标准参考值，铅执行《大气中铅及其无机化合物的卫生标准》(GB7355-87)。</w:t>
            </w:r>
          </w:p>
          <w:p w14:paraId="568DB22B">
            <w:pPr>
              <w:rPr>
                <w:bCs/>
                <w:spacing w:val="-2"/>
                <w:kern w:val="0"/>
                <w:sz w:val="18"/>
                <w:szCs w:val="18"/>
              </w:rPr>
            </w:pPr>
            <w:r>
              <w:rPr>
                <w:b/>
                <w:bCs/>
                <w:kern w:val="0"/>
                <w:sz w:val="18"/>
                <w:szCs w:val="18"/>
              </w:rPr>
              <w:t>水环境：</w:t>
            </w:r>
            <w:r>
              <w:rPr>
                <w:rFonts w:hint="eastAsia" w:ascii="宋体" w:hAnsi="宋体" w:cs="宋体"/>
                <w:bCs/>
                <w:spacing w:val="-2"/>
                <w:kern w:val="0"/>
                <w:sz w:val="18"/>
                <w:szCs w:val="18"/>
              </w:rPr>
              <w:t>①</w:t>
            </w:r>
            <w:r>
              <w:rPr>
                <w:bCs/>
                <w:spacing w:val="-2"/>
                <w:kern w:val="0"/>
                <w:sz w:val="18"/>
                <w:szCs w:val="18"/>
              </w:rPr>
              <w:t>地表水环境：京杭运河(杭嘉湖14)、禾丰港(杭嘉湖44)、亭趾港(杭嘉湖46)水质执行《地表水环境质量标准》(GB3838-2002)中的Ⅲ类水质标准；内排河(杭嘉湖35)、禾丰港(杭嘉湖43)、亭趾港(杭嘉湖45)执行GB3838-2002中的Ⅳ类水质标准；备用水源喜庵港(杭嘉湖49)执行GB3838-2002中的Ⅱ类、Ⅲ类水质标准；钱塘江(钱塘江191)执行GB3838-2002中的Ⅲ类水质标准。</w:t>
            </w:r>
          </w:p>
          <w:p w14:paraId="14F90BF1">
            <w:pPr>
              <w:rPr>
                <w:bCs/>
                <w:spacing w:val="-2"/>
                <w:kern w:val="0"/>
                <w:sz w:val="18"/>
                <w:szCs w:val="18"/>
              </w:rPr>
            </w:pPr>
            <w:r>
              <w:rPr>
                <w:rFonts w:hint="eastAsia" w:ascii="宋体" w:hAnsi="宋体" w:cs="宋体"/>
                <w:bCs/>
                <w:spacing w:val="-2"/>
                <w:kern w:val="0"/>
                <w:sz w:val="18"/>
                <w:szCs w:val="18"/>
              </w:rPr>
              <w:t>②</w:t>
            </w:r>
            <w:r>
              <w:rPr>
                <w:bCs/>
                <w:spacing w:val="-2"/>
                <w:kern w:val="0"/>
                <w:sz w:val="18"/>
                <w:szCs w:val="18"/>
              </w:rPr>
              <w:t>地下水环境：区域地下水环境执行《地下水质量标准》(GB/T14848-2017)。</w:t>
            </w:r>
          </w:p>
          <w:p w14:paraId="314BDABE">
            <w:pPr>
              <w:rPr>
                <w:bCs/>
                <w:kern w:val="0"/>
                <w:sz w:val="18"/>
                <w:szCs w:val="18"/>
              </w:rPr>
            </w:pPr>
            <w:r>
              <w:rPr>
                <w:b/>
                <w:bCs/>
                <w:kern w:val="0"/>
                <w:sz w:val="18"/>
                <w:szCs w:val="18"/>
              </w:rPr>
              <w:t>声环境：</w:t>
            </w:r>
            <w:r>
              <w:rPr>
                <w:bCs/>
                <w:kern w:val="0"/>
                <w:sz w:val="18"/>
                <w:szCs w:val="18"/>
              </w:rPr>
              <w:t>根据《杭州市余杭区声环境功能区划分方案》，开发区内301、302两个区块执行《声环境质量标准》(GB3096-2008)中的3类标准，交通干线道路、城市有轨交通(地面段)、内河航道及其两侧区域执行GB3096-2008中的4a类标准，铁路干线及其两侧区域执行GB3096-2008中的4b类标准，其他区域执行GB3096-2008中的2类标准。</w:t>
            </w:r>
          </w:p>
          <w:p w14:paraId="46137BB9">
            <w:pPr>
              <w:rPr>
                <w:bCs/>
                <w:kern w:val="0"/>
                <w:sz w:val="18"/>
                <w:szCs w:val="18"/>
              </w:rPr>
            </w:pPr>
            <w:r>
              <w:rPr>
                <w:b/>
                <w:bCs/>
                <w:kern w:val="0"/>
                <w:sz w:val="18"/>
                <w:szCs w:val="18"/>
              </w:rPr>
              <w:t>土壤环境：</w:t>
            </w:r>
            <w:r>
              <w:rPr>
                <w:bCs/>
                <w:kern w:val="0"/>
                <w:sz w:val="18"/>
                <w:szCs w:val="18"/>
              </w:rPr>
              <w:t>开发区内居住用地、中小学用地、医疗卫生用地、社会福利设施用地等第一类建设用地执行《土壤环境质量建设用地土壤污染风险管控标准(试行)》(GB36600-2018)中的第一类用地筛选值，工业用地、物流仓储用地、商业服务业设施用地、道路与交通设施用地、公用设施用地等第二类建设用地执行GB36600-2018中的第二类用地筛选值；农业用地土壤环境执行《土壤环境质量农用地土壤污染风险管控标准(试行)》(GB15618-2018)中相关风险筛选值标准。</w:t>
            </w:r>
          </w:p>
        </w:tc>
        <w:tc>
          <w:tcPr>
            <w:tcW w:w="455" w:type="pct"/>
            <w:vAlign w:val="center"/>
          </w:tcPr>
          <w:p w14:paraId="747E33BB">
            <w:pPr>
              <w:rPr>
                <w:sz w:val="18"/>
                <w:szCs w:val="18"/>
              </w:rPr>
            </w:pPr>
            <w:r>
              <w:rPr>
                <w:sz w:val="18"/>
                <w:szCs w:val="18"/>
              </w:rPr>
              <w:t>符合。项目实施后污染物总量可得到区域削减，不会导致区域环境质量降低，同时随着区域环境整治提升计划的实施以及严格总量控制等措施，预计区域环境质量可逐步达到环境质量底线要求。</w:t>
            </w:r>
          </w:p>
        </w:tc>
      </w:tr>
      <w:tr w14:paraId="18618A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40244341">
            <w:pPr>
              <w:jc w:val="center"/>
              <w:rPr>
                <w:sz w:val="18"/>
                <w:szCs w:val="18"/>
              </w:rPr>
            </w:pPr>
            <w:r>
              <w:rPr>
                <w:sz w:val="18"/>
                <w:szCs w:val="18"/>
              </w:rPr>
              <w:t>4</w:t>
            </w:r>
          </w:p>
        </w:tc>
        <w:tc>
          <w:tcPr>
            <w:tcW w:w="479" w:type="pct"/>
            <w:vAlign w:val="center"/>
          </w:tcPr>
          <w:p w14:paraId="4A34EEFA">
            <w:pPr>
              <w:jc w:val="center"/>
              <w:rPr>
                <w:sz w:val="18"/>
                <w:szCs w:val="18"/>
              </w:rPr>
            </w:pPr>
            <w:r>
              <w:rPr>
                <w:bCs/>
                <w:kern w:val="0"/>
                <w:sz w:val="18"/>
                <w:szCs w:val="18"/>
              </w:rPr>
              <w:t>行业准入标准</w:t>
            </w:r>
          </w:p>
        </w:tc>
        <w:tc>
          <w:tcPr>
            <w:tcW w:w="3768" w:type="pct"/>
            <w:vAlign w:val="center"/>
          </w:tcPr>
          <w:p w14:paraId="6BC0C8E8">
            <w:pPr>
              <w:jc w:val="left"/>
              <w:rPr>
                <w:bCs/>
                <w:kern w:val="0"/>
                <w:sz w:val="18"/>
                <w:szCs w:val="18"/>
              </w:rPr>
            </w:pPr>
            <w:r>
              <w:rPr>
                <w:b/>
                <w:bCs/>
                <w:kern w:val="0"/>
                <w:sz w:val="18"/>
                <w:szCs w:val="18"/>
              </w:rPr>
              <w:t>区内涉及行业需执行的环境准入条件、环境准入指导意见，以及行业准入条件、技术规范等：</w:t>
            </w:r>
            <w:r>
              <w:rPr>
                <w:rFonts w:hint="eastAsia" w:ascii="宋体" w:hAnsi="宋体" w:cs="宋体"/>
                <w:bCs/>
                <w:kern w:val="0"/>
                <w:sz w:val="18"/>
                <w:szCs w:val="18"/>
              </w:rPr>
              <w:t>①</w:t>
            </w:r>
            <w:r>
              <w:rPr>
                <w:bCs/>
                <w:kern w:val="0"/>
                <w:sz w:val="18"/>
                <w:szCs w:val="18"/>
              </w:rPr>
              <w:t>国家：《新能源汽车生产企业及产品准入管理规定》(工信部令39号)、《汽车产业发展政策(2009年修订)》(工信部、国家发改委2009年第10号令)、《挥发性有机物(VOCs)污染防治技术政策》(环保部公告2013年第31号)、《重点行业挥发性有机物综合治理方案》(环大气[2019]53号)等；</w:t>
            </w:r>
          </w:p>
          <w:p w14:paraId="5DE84F2F">
            <w:pPr>
              <w:jc w:val="left"/>
              <w:rPr>
                <w:bCs/>
                <w:kern w:val="0"/>
                <w:sz w:val="18"/>
                <w:szCs w:val="18"/>
              </w:rPr>
            </w:pPr>
            <w:r>
              <w:rPr>
                <w:rFonts w:hint="eastAsia" w:ascii="宋体" w:hAnsi="宋体" w:cs="宋体"/>
                <w:bCs/>
                <w:kern w:val="0"/>
                <w:sz w:val="18"/>
                <w:szCs w:val="18"/>
              </w:rPr>
              <w:t>②</w:t>
            </w:r>
            <w:r>
              <w:rPr>
                <w:bCs/>
                <w:kern w:val="0"/>
                <w:sz w:val="18"/>
                <w:szCs w:val="18"/>
              </w:rPr>
              <w:t>地方：《浙江省化学原料药产业环境准入指导意见(修订)》(浙环发[2016]12号)、《浙江省印染产业环境准入指导意见(修订)》(浙环发[2016]12号)、《浙江省热电联产行业环境准入指导意见(修订)》(浙环发[2016]12号)、《浙江省啤酒产业环境准入指导意见(修订)》(浙环发[2016]12号)、《浙江省挥发性有机物污染整治方案》(浙环发[2013]54号)、《浙江省涂装行业挥发性有机物污染整治规范》(浙环函[2015]402号)、《关于转发&lt;杭州市化纤行业挥发性有机物污染整治规范(试行)&gt;等12个行业VOCs污染整治规范的通知》(浙环办函[2016]56号)、《浙江省挥发性有机物深化治理与减排工作方案(2017-2020年)》(浙环发[2017]41号)等。</w:t>
            </w:r>
          </w:p>
        </w:tc>
        <w:tc>
          <w:tcPr>
            <w:tcW w:w="455" w:type="pct"/>
            <w:vAlign w:val="center"/>
          </w:tcPr>
          <w:p w14:paraId="3432B549">
            <w:pPr>
              <w:rPr>
                <w:sz w:val="18"/>
                <w:szCs w:val="18"/>
              </w:rPr>
            </w:pPr>
            <w:r>
              <w:rPr>
                <w:sz w:val="18"/>
                <w:szCs w:val="18"/>
              </w:rPr>
              <w:t>符合，项目符合有关行业准入条件要求。</w:t>
            </w:r>
          </w:p>
        </w:tc>
      </w:tr>
    </w:tbl>
    <w:p w14:paraId="711DBABD">
      <w:pPr>
        <w:adjustRightInd w:val="0"/>
        <w:snapToGrid w:val="0"/>
        <w:spacing w:line="360" w:lineRule="auto"/>
        <w:ind w:firstLine="482" w:firstLineChars="200"/>
        <w:rPr>
          <w:sz w:val="24"/>
          <w:szCs w:val="24"/>
        </w:rPr>
      </w:pPr>
      <w:r>
        <w:rPr>
          <w:b/>
          <w:sz w:val="24"/>
          <w:szCs w:val="24"/>
        </w:rPr>
        <w:t>符合性分析：</w:t>
      </w:r>
      <w:r>
        <w:rPr>
          <w:sz w:val="24"/>
          <w:szCs w:val="24"/>
        </w:rPr>
        <w:t>综上分析可知，项目的建设符合</w:t>
      </w:r>
      <w:r>
        <w:rPr>
          <w:rFonts w:hint="eastAsia"/>
          <w:sz w:val="24"/>
          <w:szCs w:val="24"/>
        </w:rPr>
        <w:t>《杭州余杭经济技术开发区总体规划修编（2020-2035年）环境影响报告书》</w:t>
      </w:r>
      <w:r>
        <w:rPr>
          <w:sz w:val="24"/>
          <w:szCs w:val="24"/>
        </w:rPr>
        <w:t>“六张清单”相关要求。</w:t>
      </w:r>
    </w:p>
    <w:p w14:paraId="1C91D2A8">
      <w:pPr>
        <w:spacing w:line="360" w:lineRule="auto"/>
        <w:ind w:firstLine="482" w:firstLineChars="200"/>
        <w:rPr>
          <w:b/>
          <w:sz w:val="24"/>
          <w:szCs w:val="24"/>
        </w:rPr>
      </w:pPr>
      <w:r>
        <w:rPr>
          <w:b/>
          <w:sz w:val="24"/>
          <w:szCs w:val="24"/>
        </w:rPr>
        <w:t>7、规划环评审查意见符合性分析</w:t>
      </w:r>
    </w:p>
    <w:p w14:paraId="214B4363">
      <w:pPr>
        <w:spacing w:line="360" w:lineRule="auto"/>
        <w:ind w:firstLine="480" w:firstLineChars="200"/>
      </w:pPr>
      <w:r>
        <w:rPr>
          <w:sz w:val="24"/>
          <w:szCs w:val="24"/>
        </w:rPr>
        <w:t>《杭州余杭经济技术开发区总体规划修编（2020-2035年）环境影响报告书》于2022年5月1日获得由生态环境部出具的批复（环审[2022]50号），经对照，项目建设地址位于工业区块，符合生态空间清单，经对照符合规划环评环境准入条件清单要求</w:t>
      </w:r>
      <w:r>
        <w:rPr>
          <w:rFonts w:hint="eastAsia"/>
        </w:rPr>
        <w:t>。</w:t>
      </w:r>
    </w:p>
    <w:p w14:paraId="5F64E3F6">
      <w:pPr>
        <w:pStyle w:val="3"/>
        <w:spacing w:line="360" w:lineRule="auto"/>
        <w:jc w:val="left"/>
      </w:pPr>
      <w:bookmarkStart w:id="10" w:name="_Toc27144"/>
      <w:r>
        <w:rPr>
          <w:rFonts w:hint="eastAsia"/>
        </w:rPr>
        <w:t>五、与《临平国家级经济技术开发区“区域环评+环境标准”改革实施方案》环评审批负面清单的匹配性分析</w:t>
      </w:r>
      <w:bookmarkEnd w:id="10"/>
    </w:p>
    <w:p w14:paraId="3C8A3AA5">
      <w:pPr>
        <w:pStyle w:val="122"/>
        <w:ind w:firstLine="480"/>
      </w:pPr>
      <w:r>
        <w:t>根据《临平区“区域环评+环境标准”改革实施方案》（临平政办〔2022〕48号），临平国家级经济技术开发区已列入“区域环评+环境标准”改革实施方案区域。</w:t>
      </w:r>
      <w:r>
        <w:rPr>
          <w:rFonts w:hint="eastAsia"/>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1DF8A376">
      <w:pPr>
        <w:pStyle w:val="116"/>
        <w:numPr>
          <w:ilvl w:val="0"/>
          <w:numId w:val="21"/>
        </w:numPr>
        <w:spacing w:before="156"/>
      </w:pPr>
      <w:r>
        <w:t xml:space="preserve">  </w:t>
      </w:r>
      <w:r>
        <w:rPr>
          <w:rFonts w:hint="eastAsia"/>
        </w:rPr>
        <w:t>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67DA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6A39F56">
            <w:pPr>
              <w:widowControl/>
              <w:jc w:val="center"/>
            </w:pPr>
            <w:r>
              <w:t>序号</w:t>
            </w:r>
          </w:p>
        </w:tc>
        <w:tc>
          <w:tcPr>
            <w:tcW w:w="2376" w:type="pct"/>
            <w:tcBorders>
              <w:top w:val="single" w:color="auto" w:sz="4" w:space="0"/>
              <w:left w:val="single" w:color="auto" w:sz="4" w:space="0"/>
              <w:bottom w:val="single" w:color="auto" w:sz="4" w:space="0"/>
              <w:right w:val="single" w:color="auto" w:sz="4" w:space="0"/>
            </w:tcBorders>
            <w:vAlign w:val="center"/>
          </w:tcPr>
          <w:p w14:paraId="2E248C4C">
            <w:pPr>
              <w:widowControl/>
              <w:jc w:val="center"/>
            </w:pPr>
            <w:r>
              <w:t>负面清单</w:t>
            </w:r>
          </w:p>
        </w:tc>
        <w:tc>
          <w:tcPr>
            <w:tcW w:w="1712" w:type="pct"/>
            <w:tcBorders>
              <w:top w:val="single" w:color="auto" w:sz="4" w:space="0"/>
              <w:left w:val="single" w:color="auto" w:sz="4" w:space="0"/>
              <w:bottom w:val="single" w:color="auto" w:sz="4" w:space="0"/>
              <w:right w:val="single" w:color="auto" w:sz="4" w:space="0"/>
            </w:tcBorders>
            <w:vAlign w:val="center"/>
          </w:tcPr>
          <w:p w14:paraId="4B270238">
            <w:pPr>
              <w:widowControl/>
              <w:jc w:val="center"/>
            </w:pPr>
            <w:r>
              <w:t>本项目</w:t>
            </w:r>
          </w:p>
        </w:tc>
        <w:tc>
          <w:tcPr>
            <w:tcW w:w="556" w:type="pct"/>
            <w:tcBorders>
              <w:top w:val="single" w:color="auto" w:sz="4" w:space="0"/>
              <w:left w:val="single" w:color="auto" w:sz="4" w:space="0"/>
              <w:bottom w:val="single" w:color="auto" w:sz="4" w:space="0"/>
              <w:right w:val="single" w:color="auto" w:sz="4" w:space="0"/>
            </w:tcBorders>
            <w:vAlign w:val="center"/>
          </w:tcPr>
          <w:p w14:paraId="328D0A8B">
            <w:pPr>
              <w:widowControl/>
              <w:jc w:val="center"/>
            </w:pPr>
            <w:r>
              <w:t>符合性</w:t>
            </w:r>
          </w:p>
        </w:tc>
      </w:tr>
      <w:tr w14:paraId="5484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93273FD">
            <w:pPr>
              <w:widowControl/>
              <w:jc w:val="center"/>
            </w:pPr>
            <w:r>
              <w:t>1</w:t>
            </w:r>
          </w:p>
        </w:tc>
        <w:tc>
          <w:tcPr>
            <w:tcW w:w="2376" w:type="pct"/>
            <w:tcBorders>
              <w:top w:val="single" w:color="auto" w:sz="4" w:space="0"/>
              <w:left w:val="single" w:color="auto" w:sz="4" w:space="0"/>
              <w:bottom w:val="single" w:color="auto" w:sz="4" w:space="0"/>
              <w:right w:val="single" w:color="auto" w:sz="4" w:space="0"/>
            </w:tcBorders>
            <w:vAlign w:val="center"/>
          </w:tcPr>
          <w:p w14:paraId="5F988E32">
            <w:pPr>
              <w:jc w:val="center"/>
            </w:pPr>
            <w:r>
              <w:t>环评审批权限在生态环境部的项目；</w:t>
            </w:r>
          </w:p>
        </w:tc>
        <w:tc>
          <w:tcPr>
            <w:tcW w:w="1712" w:type="pct"/>
            <w:tcBorders>
              <w:top w:val="single" w:color="auto" w:sz="4" w:space="0"/>
              <w:left w:val="single" w:color="auto" w:sz="4" w:space="0"/>
              <w:bottom w:val="single" w:color="auto" w:sz="4" w:space="0"/>
              <w:right w:val="single" w:color="auto" w:sz="4" w:space="0"/>
            </w:tcBorders>
            <w:vAlign w:val="center"/>
          </w:tcPr>
          <w:p w14:paraId="7A93F378">
            <w:pPr>
              <w:widowControl/>
              <w:jc w:val="center"/>
            </w:pPr>
            <w:r>
              <w:t>项目审批权限不在生态环境部</w:t>
            </w:r>
          </w:p>
        </w:tc>
        <w:tc>
          <w:tcPr>
            <w:tcW w:w="556" w:type="pct"/>
            <w:tcBorders>
              <w:top w:val="single" w:color="auto" w:sz="4" w:space="0"/>
              <w:left w:val="single" w:color="auto" w:sz="4" w:space="0"/>
              <w:bottom w:val="single" w:color="auto" w:sz="4" w:space="0"/>
              <w:right w:val="single" w:color="auto" w:sz="4" w:space="0"/>
            </w:tcBorders>
            <w:vAlign w:val="center"/>
          </w:tcPr>
          <w:p w14:paraId="18F04499">
            <w:pPr>
              <w:widowControl/>
              <w:jc w:val="center"/>
            </w:pPr>
            <w:r>
              <w:t>符合</w:t>
            </w:r>
          </w:p>
        </w:tc>
      </w:tr>
      <w:tr w14:paraId="5629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49A684A">
            <w:pPr>
              <w:widowControl/>
              <w:jc w:val="center"/>
            </w:pPr>
            <w:r>
              <w:t>2</w:t>
            </w:r>
          </w:p>
        </w:tc>
        <w:tc>
          <w:tcPr>
            <w:tcW w:w="2376" w:type="pct"/>
            <w:tcBorders>
              <w:top w:val="single" w:color="auto" w:sz="4" w:space="0"/>
              <w:left w:val="single" w:color="auto" w:sz="4" w:space="0"/>
              <w:bottom w:val="single" w:color="auto" w:sz="4" w:space="0"/>
              <w:right w:val="single" w:color="auto" w:sz="4" w:space="0"/>
            </w:tcBorders>
            <w:vAlign w:val="center"/>
          </w:tcPr>
          <w:p w14:paraId="629FD857">
            <w:pPr>
              <w:jc w:val="center"/>
            </w:pPr>
            <w:r>
              <w:t>需编制报告书的电磁类项目和核技术利用项目；</w:t>
            </w:r>
          </w:p>
        </w:tc>
        <w:tc>
          <w:tcPr>
            <w:tcW w:w="1712" w:type="pct"/>
            <w:tcBorders>
              <w:top w:val="single" w:color="auto" w:sz="4" w:space="0"/>
              <w:left w:val="single" w:color="auto" w:sz="4" w:space="0"/>
              <w:bottom w:val="single" w:color="auto" w:sz="4" w:space="0"/>
              <w:right w:val="single" w:color="auto" w:sz="4" w:space="0"/>
            </w:tcBorders>
            <w:vAlign w:val="center"/>
          </w:tcPr>
          <w:p w14:paraId="293B6C61">
            <w:pPr>
              <w:widowControl/>
              <w:jc w:val="center"/>
            </w:pPr>
            <w: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7B998DB">
            <w:pPr>
              <w:widowControl/>
              <w:jc w:val="center"/>
            </w:pPr>
            <w:r>
              <w:t>符合</w:t>
            </w:r>
          </w:p>
        </w:tc>
      </w:tr>
      <w:tr w14:paraId="4BDD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41BE2A7">
            <w:pPr>
              <w:widowControl/>
              <w:jc w:val="center"/>
            </w:pPr>
            <w:r>
              <w:t>3</w:t>
            </w:r>
          </w:p>
        </w:tc>
        <w:tc>
          <w:tcPr>
            <w:tcW w:w="2376" w:type="pct"/>
            <w:tcBorders>
              <w:top w:val="single" w:color="auto" w:sz="4" w:space="0"/>
              <w:left w:val="single" w:color="auto" w:sz="4" w:space="0"/>
              <w:bottom w:val="single" w:color="auto" w:sz="4" w:space="0"/>
              <w:right w:val="single" w:color="auto" w:sz="4" w:space="0"/>
            </w:tcBorders>
            <w:vAlign w:val="center"/>
          </w:tcPr>
          <w:p w14:paraId="5CD2F629">
            <w:pPr>
              <w:jc w:val="center"/>
            </w:pPr>
            <w:r>
              <w:t>生活垃圾焚烧发电等高污染、高风险建设项目；</w:t>
            </w:r>
          </w:p>
        </w:tc>
        <w:tc>
          <w:tcPr>
            <w:tcW w:w="1712" w:type="pct"/>
            <w:tcBorders>
              <w:top w:val="single" w:color="auto" w:sz="4" w:space="0"/>
              <w:left w:val="single" w:color="auto" w:sz="4" w:space="0"/>
              <w:bottom w:val="single" w:color="auto" w:sz="4" w:space="0"/>
              <w:right w:val="single" w:color="auto" w:sz="4" w:space="0"/>
            </w:tcBorders>
            <w:vAlign w:val="center"/>
          </w:tcPr>
          <w:p w14:paraId="243A6667">
            <w:pPr>
              <w:widowControl/>
              <w:jc w:val="center"/>
            </w:pPr>
            <w: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F773948">
            <w:pPr>
              <w:widowControl/>
              <w:jc w:val="center"/>
            </w:pPr>
            <w:r>
              <w:t>符合</w:t>
            </w:r>
          </w:p>
        </w:tc>
      </w:tr>
      <w:tr w14:paraId="2F7F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C2C5595">
            <w:pPr>
              <w:widowControl/>
              <w:jc w:val="center"/>
            </w:pPr>
            <w:r>
              <w:t>4</w:t>
            </w:r>
          </w:p>
        </w:tc>
        <w:tc>
          <w:tcPr>
            <w:tcW w:w="2376" w:type="pct"/>
            <w:tcBorders>
              <w:top w:val="single" w:color="auto" w:sz="4" w:space="0"/>
              <w:left w:val="single" w:color="auto" w:sz="4" w:space="0"/>
              <w:bottom w:val="single" w:color="auto" w:sz="4" w:space="0"/>
              <w:right w:val="single" w:color="auto" w:sz="4" w:space="0"/>
            </w:tcBorders>
            <w:vAlign w:val="center"/>
          </w:tcPr>
          <w:p w14:paraId="1BDBEE87">
            <w:pPr>
              <w:jc w:val="center"/>
            </w:pPr>
            <w:r>
              <w:t>有提炼、发酵工艺的生物医药项目</w:t>
            </w:r>
          </w:p>
        </w:tc>
        <w:tc>
          <w:tcPr>
            <w:tcW w:w="1712" w:type="pct"/>
            <w:tcBorders>
              <w:top w:val="single" w:color="auto" w:sz="4" w:space="0"/>
              <w:left w:val="single" w:color="auto" w:sz="4" w:space="0"/>
              <w:bottom w:val="single" w:color="auto" w:sz="4" w:space="0"/>
              <w:right w:val="single" w:color="auto" w:sz="4" w:space="0"/>
            </w:tcBorders>
            <w:vAlign w:val="center"/>
          </w:tcPr>
          <w:p w14:paraId="5F5A69C3">
            <w:pPr>
              <w:widowControl/>
              <w:jc w:val="center"/>
            </w:pPr>
            <w:r>
              <w:rPr>
                <w:rFonts w:hint="eastAsia"/>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A984AF0">
            <w:pPr>
              <w:widowControl/>
              <w:jc w:val="center"/>
            </w:pPr>
            <w:r>
              <w:t>符合</w:t>
            </w:r>
          </w:p>
        </w:tc>
      </w:tr>
      <w:tr w14:paraId="2728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DF60864">
            <w:pPr>
              <w:widowControl/>
              <w:jc w:val="center"/>
            </w:pPr>
            <w:r>
              <w:rPr>
                <w:rFonts w:hint="eastAsia"/>
              </w:rPr>
              <w:t>5</w:t>
            </w:r>
          </w:p>
        </w:tc>
        <w:tc>
          <w:tcPr>
            <w:tcW w:w="2376" w:type="pct"/>
            <w:tcBorders>
              <w:top w:val="single" w:color="auto" w:sz="4" w:space="0"/>
              <w:left w:val="single" w:color="auto" w:sz="4" w:space="0"/>
              <w:bottom w:val="single" w:color="auto" w:sz="4" w:space="0"/>
              <w:right w:val="single" w:color="auto" w:sz="4" w:space="0"/>
            </w:tcBorders>
            <w:vAlign w:val="center"/>
          </w:tcPr>
          <w:p w14:paraId="72ACC61B">
            <w:pPr>
              <w:jc w:val="center"/>
            </w:pPr>
            <w:r>
              <w:rPr>
                <w:rFonts w:hint="eastAsia"/>
              </w:rPr>
              <w:t>显示器件、印刷线路板及半导体材料、电子陶瓷、有机薄膜、荧光粉、贵金属粉等电子专用材料生产项目</w:t>
            </w:r>
          </w:p>
        </w:tc>
        <w:tc>
          <w:tcPr>
            <w:tcW w:w="1712" w:type="pct"/>
            <w:tcBorders>
              <w:top w:val="single" w:color="auto" w:sz="4" w:space="0"/>
              <w:left w:val="single" w:color="auto" w:sz="4" w:space="0"/>
              <w:bottom w:val="single" w:color="auto" w:sz="4" w:space="0"/>
              <w:right w:val="single" w:color="auto" w:sz="4" w:space="0"/>
            </w:tcBorders>
            <w:vAlign w:val="center"/>
          </w:tcPr>
          <w:p w14:paraId="6938FB95">
            <w:pPr>
              <w:widowControl/>
              <w:jc w:val="center"/>
            </w:pPr>
            <w:r>
              <w:rPr>
                <w:rFonts w:hint="eastAsia"/>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4A18740C">
            <w:pPr>
              <w:widowControl/>
              <w:jc w:val="center"/>
            </w:pPr>
            <w:r>
              <w:rPr>
                <w:rFonts w:hint="eastAsia"/>
              </w:rPr>
              <w:t>符合</w:t>
            </w:r>
          </w:p>
        </w:tc>
      </w:tr>
      <w:tr w14:paraId="358C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15809EA">
            <w:pPr>
              <w:widowControl/>
              <w:jc w:val="center"/>
            </w:pPr>
            <w:r>
              <w:rPr>
                <w:rFonts w:hint="eastAsia"/>
              </w:rPr>
              <w:t>6</w:t>
            </w:r>
          </w:p>
        </w:tc>
        <w:tc>
          <w:tcPr>
            <w:tcW w:w="2376" w:type="pct"/>
            <w:tcBorders>
              <w:top w:val="single" w:color="auto" w:sz="4" w:space="0"/>
              <w:left w:val="single" w:color="auto" w:sz="4" w:space="0"/>
              <w:bottom w:val="single" w:color="auto" w:sz="4" w:space="0"/>
              <w:right w:val="single" w:color="auto" w:sz="4" w:space="0"/>
            </w:tcBorders>
            <w:vAlign w:val="center"/>
          </w:tcPr>
          <w:p w14:paraId="09814AE6">
            <w:pPr>
              <w:jc w:val="center"/>
            </w:pPr>
            <w:r>
              <w:rPr>
                <w:rFonts w:hint="eastAsia"/>
              </w:rPr>
              <w:t>涉及重金属污染项目及酸洗或有机溶剂清洗等工艺项目</w:t>
            </w:r>
          </w:p>
        </w:tc>
        <w:tc>
          <w:tcPr>
            <w:tcW w:w="1712" w:type="pct"/>
            <w:tcBorders>
              <w:top w:val="single" w:color="auto" w:sz="4" w:space="0"/>
              <w:left w:val="single" w:color="auto" w:sz="4" w:space="0"/>
              <w:bottom w:val="single" w:color="auto" w:sz="4" w:space="0"/>
              <w:right w:val="single" w:color="auto" w:sz="4" w:space="0"/>
            </w:tcBorders>
            <w:vAlign w:val="center"/>
          </w:tcPr>
          <w:p w14:paraId="40231AD1">
            <w:pPr>
              <w:widowControl/>
              <w:jc w:val="center"/>
            </w:pPr>
            <w:r>
              <w:rPr>
                <w:rFonts w:hint="eastAsia"/>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1DC8A5C9">
            <w:pPr>
              <w:widowControl/>
              <w:jc w:val="center"/>
            </w:pPr>
            <w:r>
              <w:rPr>
                <w:rFonts w:hint="eastAsia"/>
              </w:rPr>
              <w:t>符合</w:t>
            </w:r>
          </w:p>
        </w:tc>
      </w:tr>
      <w:tr w14:paraId="1B60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57C6210">
            <w:pPr>
              <w:widowControl/>
              <w:jc w:val="center"/>
            </w:pPr>
            <w:r>
              <w:t>7</w:t>
            </w:r>
          </w:p>
        </w:tc>
        <w:tc>
          <w:tcPr>
            <w:tcW w:w="2376" w:type="pct"/>
            <w:tcBorders>
              <w:top w:val="single" w:color="auto" w:sz="4" w:space="0"/>
              <w:left w:val="single" w:color="auto" w:sz="4" w:space="0"/>
              <w:bottom w:val="single" w:color="auto" w:sz="4" w:space="0"/>
              <w:right w:val="single" w:color="auto" w:sz="4" w:space="0"/>
            </w:tcBorders>
            <w:vAlign w:val="center"/>
          </w:tcPr>
          <w:p w14:paraId="3FCAF620">
            <w:pPr>
              <w:jc w:val="center"/>
            </w:pPr>
            <w:r>
              <w:rPr>
                <w:rFonts w:hint="eastAsia"/>
              </w:rPr>
              <w:t>涉及喷漆工艺且使用油性漆（含稀释剂）10吨/年及以上的项目</w:t>
            </w:r>
          </w:p>
        </w:tc>
        <w:tc>
          <w:tcPr>
            <w:tcW w:w="1712" w:type="pct"/>
            <w:tcBorders>
              <w:top w:val="single" w:color="auto" w:sz="4" w:space="0"/>
              <w:left w:val="single" w:color="auto" w:sz="4" w:space="0"/>
              <w:bottom w:val="single" w:color="auto" w:sz="4" w:space="0"/>
              <w:right w:val="single" w:color="auto" w:sz="4" w:space="0"/>
            </w:tcBorders>
            <w:vAlign w:val="center"/>
          </w:tcPr>
          <w:p w14:paraId="6850FC45">
            <w:pPr>
              <w:widowControl/>
              <w:jc w:val="center"/>
              <w:rPr>
                <w:rFonts w:hint="default" w:eastAsia="宋体"/>
                <w:lang w:val="en-US" w:eastAsia="zh-CN"/>
              </w:rPr>
            </w:pPr>
            <w:r>
              <w:rPr>
                <w:rFonts w:hint="eastAsia"/>
                <w:lang w:val="en-US" w:eastAsia="zh-CN"/>
              </w:rPr>
              <w:t>本项目涉及喷漆工艺，但不使用油性漆</w:t>
            </w:r>
          </w:p>
        </w:tc>
        <w:tc>
          <w:tcPr>
            <w:tcW w:w="556" w:type="pct"/>
            <w:tcBorders>
              <w:top w:val="single" w:color="auto" w:sz="4" w:space="0"/>
              <w:left w:val="single" w:color="auto" w:sz="4" w:space="0"/>
              <w:bottom w:val="single" w:color="auto" w:sz="4" w:space="0"/>
              <w:right w:val="single" w:color="auto" w:sz="4" w:space="0"/>
            </w:tcBorders>
            <w:vAlign w:val="center"/>
          </w:tcPr>
          <w:p w14:paraId="05EACA52">
            <w:pPr>
              <w:widowControl/>
              <w:jc w:val="center"/>
            </w:pPr>
            <w:r>
              <w:t>符合</w:t>
            </w:r>
          </w:p>
        </w:tc>
      </w:tr>
      <w:tr w14:paraId="0D46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CEE3175">
            <w:pPr>
              <w:widowControl/>
              <w:jc w:val="center"/>
            </w:pPr>
            <w:r>
              <w:t>8</w:t>
            </w:r>
          </w:p>
        </w:tc>
        <w:tc>
          <w:tcPr>
            <w:tcW w:w="2376" w:type="pct"/>
            <w:tcBorders>
              <w:top w:val="single" w:color="auto" w:sz="4" w:space="0"/>
              <w:left w:val="single" w:color="auto" w:sz="4" w:space="0"/>
              <w:bottom w:val="single" w:color="auto" w:sz="4" w:space="0"/>
              <w:right w:val="single" w:color="auto" w:sz="4" w:space="0"/>
            </w:tcBorders>
            <w:vAlign w:val="center"/>
          </w:tcPr>
          <w:p w14:paraId="38EC406D">
            <w:pPr>
              <w:jc w:val="center"/>
            </w:pPr>
            <w:r>
              <w:rPr>
                <w:rFonts w:hint="eastAsia"/>
              </w:rPr>
              <w:t>城市污水集中处理、餐厨垃圾处置、生活垃圾焚烧等环保基础设施项目</w:t>
            </w:r>
            <w:r>
              <w:t>；</w:t>
            </w:r>
          </w:p>
        </w:tc>
        <w:tc>
          <w:tcPr>
            <w:tcW w:w="1712" w:type="pct"/>
            <w:tcBorders>
              <w:top w:val="single" w:color="auto" w:sz="4" w:space="0"/>
              <w:left w:val="single" w:color="auto" w:sz="4" w:space="0"/>
              <w:bottom w:val="single" w:color="auto" w:sz="4" w:space="0"/>
              <w:right w:val="single" w:color="auto" w:sz="4" w:space="0"/>
            </w:tcBorders>
            <w:vAlign w:val="center"/>
          </w:tcPr>
          <w:p w14:paraId="5A707727">
            <w:pPr>
              <w:widowControl/>
              <w:jc w:val="center"/>
            </w:pPr>
            <w: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798000A">
            <w:pPr>
              <w:widowControl/>
              <w:jc w:val="center"/>
            </w:pPr>
            <w:r>
              <w:t>符合</w:t>
            </w:r>
          </w:p>
        </w:tc>
      </w:tr>
      <w:tr w14:paraId="52DB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E732DAC">
            <w:pPr>
              <w:widowControl/>
              <w:jc w:val="center"/>
            </w:pPr>
            <w:r>
              <w:t>9</w:t>
            </w:r>
          </w:p>
        </w:tc>
        <w:tc>
          <w:tcPr>
            <w:tcW w:w="2376" w:type="pct"/>
            <w:tcBorders>
              <w:top w:val="single" w:color="auto" w:sz="4" w:space="0"/>
              <w:left w:val="single" w:color="auto" w:sz="4" w:space="0"/>
              <w:bottom w:val="single" w:color="auto" w:sz="4" w:space="0"/>
              <w:right w:val="single" w:color="auto" w:sz="4" w:space="0"/>
            </w:tcBorders>
            <w:vAlign w:val="center"/>
          </w:tcPr>
          <w:p w14:paraId="03AC0025">
            <w:pPr>
              <w:jc w:val="center"/>
            </w:pPr>
            <w:r>
              <w:rPr>
                <w:rFonts w:hint="eastAsia"/>
              </w:rPr>
              <w:t>与敏感点防护距离不足，公众关注度高或投诉反响强烈的项目</w:t>
            </w:r>
          </w:p>
        </w:tc>
        <w:tc>
          <w:tcPr>
            <w:tcW w:w="1712" w:type="pct"/>
            <w:tcBorders>
              <w:top w:val="single" w:color="auto" w:sz="4" w:space="0"/>
              <w:left w:val="single" w:color="auto" w:sz="4" w:space="0"/>
              <w:bottom w:val="single" w:color="auto" w:sz="4" w:space="0"/>
              <w:right w:val="single" w:color="auto" w:sz="4" w:space="0"/>
            </w:tcBorders>
            <w:vAlign w:val="center"/>
          </w:tcPr>
          <w:p w14:paraId="788E4B0D">
            <w:pPr>
              <w:widowControl/>
              <w:jc w:val="center"/>
            </w:pPr>
            <w: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5E23A19">
            <w:pPr>
              <w:widowControl/>
              <w:jc w:val="center"/>
            </w:pPr>
            <w:r>
              <w:t>符合</w:t>
            </w:r>
          </w:p>
        </w:tc>
      </w:tr>
    </w:tbl>
    <w:p w14:paraId="4817CF0A">
      <w:pPr>
        <w:ind w:firstLine="480" w:firstLineChars="200"/>
        <w:rPr>
          <w:color w:val="000000"/>
          <w:sz w:val="24"/>
          <w:szCs w:val="24"/>
        </w:rPr>
        <w:sectPr>
          <w:pgSz w:w="11906" w:h="16838"/>
          <w:pgMar w:top="1440" w:right="1800" w:bottom="1440" w:left="1800" w:header="851" w:footer="992" w:gutter="0"/>
          <w:pgNumType w:fmt="decimal"/>
          <w:cols w:space="425" w:num="1"/>
          <w:docGrid w:type="lines" w:linePitch="312" w:charSpace="0"/>
        </w:sectPr>
      </w:pPr>
    </w:p>
    <w:p w14:paraId="546E8354">
      <w:pPr>
        <w:pStyle w:val="133"/>
      </w:pPr>
      <w:r>
        <mc:AlternateContent>
          <mc:Choice Requires="wps">
            <w:drawing>
              <wp:anchor distT="0" distB="0" distL="114300" distR="114300" simplePos="0" relativeHeight="251682816" behindDoc="0" locked="0" layoutInCell="1" allowOverlap="1">
                <wp:simplePos x="0" y="0"/>
                <wp:positionH relativeFrom="column">
                  <wp:posOffset>1642745</wp:posOffset>
                </wp:positionH>
                <wp:positionV relativeFrom="paragraph">
                  <wp:posOffset>3051810</wp:posOffset>
                </wp:positionV>
                <wp:extent cx="151130" cy="101600"/>
                <wp:effectExtent l="13970" t="13970" r="17780" b="21590"/>
                <wp:wrapNone/>
                <wp:docPr id="64" name="矩形 64"/>
                <wp:cNvGraphicFramePr/>
                <a:graphic xmlns:a="http://schemas.openxmlformats.org/drawingml/2006/main">
                  <a:graphicData uri="http://schemas.microsoft.com/office/word/2010/wordprocessingShape">
                    <wps:wsp>
                      <wps:cNvSpPr/>
                      <wps:spPr>
                        <a:xfrm>
                          <a:off x="0" y="0"/>
                          <a:ext cx="151130" cy="101600"/>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9.35pt;margin-top:240.3pt;height:8pt;width:11.9pt;z-index:251682816;v-text-anchor:middle;mso-width-relative:page;mso-height-relative:page;" filled="f" stroked="t" coordsize="21600,21600" o:gfxdata="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4&#10;cRYc1wAAAAsBAAAPAAAAAAAAAAEAIAAAACIAAABkcnMvZG93bnJldi54bWxQSwECFAAUAAAACACH&#10;TuJA+33B914CAAC1BAAADgAAAAAAAAABACAAAAAmAQAAZHJzL2Uyb0RvYy54bWxQSwUGAAAAAAYA&#10;BgBZAQAA9gUAAAAA&#10;">
                <v:fill on="f" focussize="0,0"/>
                <v:stroke weight="2.25pt" color="#FFFF00 [2404]" joinstyle="round"/>
                <v:imagedata o:title=""/>
                <o:lock v:ext="edit" aspectratio="f"/>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6206490</wp:posOffset>
                </wp:positionH>
                <wp:positionV relativeFrom="paragraph">
                  <wp:posOffset>2172335</wp:posOffset>
                </wp:positionV>
                <wp:extent cx="45085" cy="45085"/>
                <wp:effectExtent l="0" t="0" r="0" b="0"/>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 o:spid="_x0000_s1026" o:spt="3" type="#_x0000_t3" style="position:absolute;left:0pt;margin-left:488.7pt;margin-top:171.05pt;height:3.55pt;width:3.55pt;z-index:251660288;v-text-anchor:middle;mso-width-relative:page;mso-height-relative:page;" fillcolor="#FF0000" filled="t" stroked="t" coordsize="21600,21600" o:gfxdata="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f&#10;+N552AAAAAsBAAAPAAAAAAAAAAEAIAAAACIAAABkcnMvZG93bnJldi54bWxQSwECFAAUAAAACACH&#10;TuJAhoEVo10CAADeBAAADgAAAAAAAAABACAAAAAnAQAAZHJzL2Uyb0RvYy54bWxQSwUGAAAAAAYA&#10;BgBZAQAA9gUAAAAA&#10;">
                <v:fill on="t" focussize="0,0"/>
                <v:stroke weight="2pt" color="#FF0000 [3204]" joinstyle="round"/>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6162040</wp:posOffset>
                </wp:positionH>
                <wp:positionV relativeFrom="paragraph">
                  <wp:posOffset>1539875</wp:posOffset>
                </wp:positionV>
                <wp:extent cx="904875" cy="291465"/>
                <wp:effectExtent l="5715" t="5080" r="13335" b="360680"/>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66CA266A">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485.2pt;margin-top:121.25pt;height:22.95pt;width:71.25pt;z-index:251661312;mso-width-relative:page;mso-height-relative:page;" fillcolor="#FFFFFF" filled="t" stroked="t" coordsize="21600,21600" o:gfxdata="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xS59I9kAAAAM&#10;AQAADwAAAAAAAAABACAAAAAiAAAAZHJzL2Rvd25yZXYueG1sUEsBAhQAFAAAAAgAh07iQEV79rWN&#10;AgAACAUAAA4AAAAAAAAAAQAgAAAAKAEAAGRycy9lMm9Eb2MueG1sUEsFBgAAAAAGAAYAWQEAACcG&#10;AAAAAA==&#10;" adj="2183,47812">
                <v:fill on="t" opacity="32895f" focussize="0,0"/>
                <v:stroke color="#FF0000" miterlimit="8" joinstyle="miter"/>
                <v:imagedata o:title=""/>
                <o:lock v:ext="edit" aspectratio="f"/>
                <v:textbox>
                  <w:txbxContent>
                    <w:p w14:paraId="66CA266A">
                      <w:pPr>
                        <w:rPr>
                          <w:color w:val="FF0000"/>
                          <w:szCs w:val="28"/>
                        </w:rPr>
                      </w:pPr>
                      <w:r>
                        <w:rPr>
                          <w:rFonts w:hint="eastAsia"/>
                          <w:color w:val="FF0000"/>
                          <w:szCs w:val="28"/>
                        </w:rPr>
                        <w:t>项目所在地</w:t>
                      </w:r>
                    </w:p>
                  </w:txbxContent>
                </v:textbox>
              </v:shape>
            </w:pict>
          </mc:Fallback>
        </mc:AlternateContent>
      </w:r>
      <w:r>
        <w:drawing>
          <wp:anchor distT="0" distB="0" distL="114300" distR="114300" simplePos="0" relativeHeight="251676672" behindDoc="0" locked="0" layoutInCell="1" allowOverlap="1">
            <wp:simplePos x="0" y="0"/>
            <wp:positionH relativeFrom="column">
              <wp:posOffset>513080</wp:posOffset>
            </wp:positionH>
            <wp:positionV relativeFrom="paragraph">
              <wp:posOffset>2183765</wp:posOffset>
            </wp:positionV>
            <wp:extent cx="2873375" cy="2000250"/>
            <wp:effectExtent l="0" t="0" r="6985" b="11430"/>
            <wp:wrapNone/>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7"/>
                    <a:stretch>
                      <a:fillRect/>
                    </a:stretch>
                  </pic:blipFill>
                  <pic:spPr>
                    <a:xfrm>
                      <a:off x="0" y="0"/>
                      <a:ext cx="2873375" cy="2000250"/>
                    </a:xfrm>
                    <a:prstGeom prst="rect">
                      <a:avLst/>
                    </a:prstGeom>
                    <a:noFill/>
                    <a:ln>
                      <a:noFill/>
                    </a:ln>
                  </pic:spPr>
                </pic:pic>
              </a:graphicData>
            </a:graphic>
          </wp:anchor>
        </w:drawing>
      </w:r>
      <w:r>
        <mc:AlternateContent>
          <mc:Choice Requires="wps">
            <w:drawing>
              <wp:anchor distT="0" distB="0" distL="114300" distR="114300" simplePos="0" relativeHeight="251674624" behindDoc="0" locked="0" layoutInCell="1" allowOverlap="1">
                <wp:simplePos x="0" y="0"/>
                <wp:positionH relativeFrom="column">
                  <wp:posOffset>1778000</wp:posOffset>
                </wp:positionH>
                <wp:positionV relativeFrom="paragraph">
                  <wp:posOffset>3078480</wp:posOffset>
                </wp:positionV>
                <wp:extent cx="260350" cy="189865"/>
                <wp:effectExtent l="12700" t="12700" r="16510" b="26035"/>
                <wp:wrapNone/>
                <wp:docPr id="6" name="任意多边形 6"/>
                <wp:cNvGraphicFramePr/>
                <a:graphic xmlns:a="http://schemas.openxmlformats.org/drawingml/2006/main">
                  <a:graphicData uri="http://schemas.microsoft.com/office/word/2010/wordprocessingShape">
                    <wps:wsp>
                      <wps:cNvSpPr/>
                      <wps:spPr>
                        <a:xfrm>
                          <a:off x="2671445" y="3784600"/>
                          <a:ext cx="260350" cy="189865"/>
                        </a:xfrm>
                        <a:custGeom>
                          <a:avLst/>
                          <a:gdLst>
                            <a:gd name="connisteX0" fmla="*/ 0 w 241300"/>
                            <a:gd name="connsiteY0" fmla="*/ 88900 h 177800"/>
                            <a:gd name="connisteX1" fmla="*/ 44450 w 241300"/>
                            <a:gd name="connsiteY1" fmla="*/ 177800 h 177800"/>
                            <a:gd name="connisteX2" fmla="*/ 241300 w 241300"/>
                            <a:gd name="connsiteY2" fmla="*/ 101600 h 177800"/>
                            <a:gd name="connisteX3" fmla="*/ 190500 w 241300"/>
                            <a:gd name="connsiteY3" fmla="*/ 0 h 177800"/>
                            <a:gd name="connisteX4" fmla="*/ 0 w 241300"/>
                            <a:gd name="connsiteY4" fmla="*/ 88900 h 17780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41300" h="177800">
                              <a:moveTo>
                                <a:pt x="0" y="88900"/>
                              </a:moveTo>
                              <a:lnTo>
                                <a:pt x="44450" y="177800"/>
                              </a:lnTo>
                              <a:lnTo>
                                <a:pt x="241300" y="101600"/>
                              </a:lnTo>
                              <a:lnTo>
                                <a:pt x="190500" y="0"/>
                              </a:lnTo>
                              <a:lnTo>
                                <a:pt x="0" y="88900"/>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0pt;margin-top:242.4pt;height:14.95pt;width:20.5pt;z-index:251674624;mso-width-relative:page;mso-height-relative:page;" filled="f" stroked="t" coordsize="241300,177800" o:gfxdata="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FfWcNdkAAAALAQAADwAAAAAAAAABACAAAAAiAAAAZHJzL2Rvd25yZXYueG1sUEsB&#10;AhQAFAAAAAgAh07iQJRbSXoRAwAALwgAAA4AAAAAAAAAAQAgAAAAKAEAAGRycy9lMm9Eb2MueG1s&#10;UEsFBgAAAAAGAAYAWQEAAKsGAAAAAA==&#10;" path="m0,88900l44450,177800,241300,101600,190500,0,0,88900xe">
                <v:path o:connectlocs="0,94932;47959,189865;260350,108494;205539,0;0,94932" o:connectangles="0,0,0,0,0"/>
                <v:fill on="f" focussize="0,0"/>
                <v:stroke weight="2pt" color="#FFFF00 [2404]" joinstyle="round"/>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7662545</wp:posOffset>
                </wp:positionH>
                <wp:positionV relativeFrom="paragraph">
                  <wp:posOffset>5307330</wp:posOffset>
                </wp:positionV>
                <wp:extent cx="234950" cy="108585"/>
                <wp:effectExtent l="13970" t="13970" r="25400" b="14605"/>
                <wp:wrapNone/>
                <wp:docPr id="17" name="矩形 17"/>
                <wp:cNvGraphicFramePr/>
                <a:graphic xmlns:a="http://schemas.openxmlformats.org/drawingml/2006/main">
                  <a:graphicData uri="http://schemas.microsoft.com/office/word/2010/wordprocessingShape">
                    <wps:wsp>
                      <wps:cNvSpPr/>
                      <wps:spPr>
                        <a:xfrm>
                          <a:off x="8562340" y="6045200"/>
                          <a:ext cx="234950" cy="108585"/>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3.35pt;margin-top:417.9pt;height:8.55pt;width:18.5pt;z-index:251675648;v-text-anchor:middle;mso-width-relative:page;mso-height-relative:page;" filled="f" stroked="t" coordsize="21600,21600" o:gfxdata="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pWK442AAAAA0BAAAPAAAAAAAAAAEAIAAAACIAAABkcnMvZG93bnJldi54bWxQ&#10;SwECFAAUAAAACACHTuJA0WILD2kCAADBBAAADgAAAAAAAAABACAAAAAnAQAAZHJzL2Uyb0RvYy54&#10;bWxQSwUGAAAAAAYABgBZAQAAAgYAAAAA&#10;">
                <v:fill on="f" focussize="0,0"/>
                <v:stroke weight="2.25pt" color="#FFFF00 [2404]" joinstyle="round"/>
                <v:imagedata o:title=""/>
                <o:lock v:ext="edit" aspectratio="f"/>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7663815</wp:posOffset>
                </wp:positionH>
                <wp:positionV relativeFrom="paragraph">
                  <wp:posOffset>5113655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603.45pt;margin-top:402.65pt;height:8.5pt;width:17pt;z-index:251663360;v-text-anchor:middle;mso-width-relative:page;mso-height-relative:page;" filled="f" stroked="t" coordsize="21600,21600" o:gfxdata="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NOY+7ZAAAADQEAAA8AAAAAAAAAAQAgAAAAIgAAAGRycy9kb3ducmV2LnhtbFBLAQIUABQAAAAI&#10;AIdO4kBY2JNiXgIAALUEAAAOAAAAAAAAAAEAIAAAACgBAABkcnMvZTJvRG9jLnhtbFBLBQYAAAAA&#10;BgAGAFkBAAD4BQAAAAA=&#10;">
                <v:fill on="f" focussize="0,0"/>
                <v:stroke weight="1.5pt" color="#FF0000 [3204]" joinstyle="round"/>
                <v:imagedata o:title=""/>
                <o:lock v:ext="edit" aspectratio="f"/>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6885305</wp:posOffset>
                </wp:positionH>
                <wp:positionV relativeFrom="paragraph">
                  <wp:posOffset>5024120</wp:posOffset>
                </wp:positionV>
                <wp:extent cx="1429385" cy="543560"/>
                <wp:effectExtent l="0" t="0" r="3175" b="5080"/>
                <wp:wrapNone/>
                <wp:docPr id="45"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9385" cy="543560"/>
                        </a:xfrm>
                        <a:prstGeom prst="rect">
                          <a:avLst/>
                        </a:prstGeom>
                        <a:solidFill>
                          <a:srgbClr val="FFFFFF"/>
                        </a:solidFill>
                        <a:ln>
                          <a:noFill/>
                        </a:ln>
                      </wps:spPr>
                      <wps:txbx>
                        <w:txbxContent>
                          <w:p w14:paraId="0837DE7B">
                            <w:pPr>
                              <w:jc w:val="left"/>
                            </w:pPr>
                            <w:r>
                              <w:rPr>
                                <w:rFonts w:hint="eastAsia"/>
                              </w:rPr>
                              <w:t>项目厂址：</w:t>
                            </w:r>
                          </w:p>
                          <w:p w14:paraId="625ECADB">
                            <w:pPr>
                              <w:jc w:val="left"/>
                            </w:pPr>
                            <w:r>
                              <w:rPr>
                                <w:rFonts w:hint="eastAsia"/>
                              </w:rPr>
                              <w:t>项目车间：</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542.15pt;margin-top:395.6pt;height:42.8pt;width:112.55pt;z-index:251662336;mso-width-relative:page;mso-height-relative:page;" fillcolor="#FFFFFF" filled="t" stroked="f" coordsize="21600,21600" o:gfxdata="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fP959kAAAANAQAADwAAAAAAAAABACAAAAAiAAAAZHJzL2Rvd25yZXYueG1sUEsB&#10;AhQAFAAAAAgAh07iQJ9m3gEtAgAAQAQAAA4AAAAAAAAAAQAgAAAAKAEAAGRycy9lMm9Eb2MueG1s&#10;UEsFBgAAAAAGAAYAWQEAAMcFAAAAAA==&#10;">
                <v:fill on="t" focussize="0,0"/>
                <v:stroke on="f"/>
                <v:imagedata o:title=""/>
                <o:lock v:ext="edit" aspectratio="f"/>
                <v:textbox>
                  <w:txbxContent>
                    <w:p w14:paraId="0837DE7B">
                      <w:pPr>
                        <w:jc w:val="left"/>
                      </w:pPr>
                      <w:r>
                        <w:rPr>
                          <w:rFonts w:hint="eastAsia"/>
                        </w:rPr>
                        <w:t>项目厂址：</w:t>
                      </w:r>
                    </w:p>
                    <w:p w14:paraId="625ECADB">
                      <w:pPr>
                        <w:jc w:val="left"/>
                      </w:pPr>
                      <w:r>
                        <w:rPr>
                          <w:rFonts w:hint="eastAsia"/>
                        </w:rPr>
                        <w:t>项目车间：</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1793240</wp:posOffset>
                </wp:positionH>
                <wp:positionV relativeFrom="paragraph">
                  <wp:posOffset>2211070</wp:posOffset>
                </wp:positionV>
                <wp:extent cx="4451985" cy="891540"/>
                <wp:effectExtent l="0" t="9525" r="13335" b="28575"/>
                <wp:wrapNone/>
                <wp:docPr id="47" name="AutoShape 14"/>
                <wp:cNvGraphicFramePr/>
                <a:graphic xmlns:a="http://schemas.openxmlformats.org/drawingml/2006/main">
                  <a:graphicData uri="http://schemas.microsoft.com/office/word/2010/wordprocessingShape">
                    <wps:wsp>
                      <wps:cNvCnPr>
                        <a:cxnSpLocks noChangeShapeType="1"/>
                      </wps:cNvCnPr>
                      <wps:spPr bwMode="auto">
                        <a:xfrm flipH="1">
                          <a:off x="0" y="0"/>
                          <a:ext cx="4451985" cy="891540"/>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flip:x;margin-left:141.2pt;margin-top:174.1pt;height:70.2pt;width:350.55pt;z-index:251677696;mso-width-relative:page;mso-height-relative:page;" filled="f" stroked="t" coordsize="21600,21600" o:gfxdata="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jlQVNkAAAALAQAADwAAAAAAAAABACAAAAAiAAAAZHJzL2Rv&#10;d25yZXYueG1sUEsBAhQAFAAAAAgAh07iQPOIgYkAAgAA8gMAAA4AAAAAAAAAAQAgAAAAKAEAAGRy&#10;cy9lMm9Eb2MueG1sUEsFBgAAAAAGAAYAWQEAAJoFAAAAAA==&#10;">
                <v:fill on="f" focussize="0,0"/>
                <v:stroke weight="1.5pt" color="#FF0000" joinstyle="round" endarrow="block"/>
                <v:imagedata o:title=""/>
                <o:lock v:ext="edit" aspectratio="f"/>
              </v:shape>
            </w:pict>
          </mc:Fallback>
        </mc:AlternateContent>
      </w:r>
      <w:r>
        <w:drawing>
          <wp:anchor distT="0" distB="0" distL="114300" distR="114300" simplePos="0" relativeHeight="251664384"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t xml:space="preserve"> </w:t>
      </w:r>
    </w:p>
    <w:p w14:paraId="2EB11F68">
      <w:pPr>
        <w:pStyle w:val="3"/>
      </w:pPr>
      <w:bookmarkStart w:id="11" w:name="_Toc4961"/>
      <w:r>
        <w:t>附图1  建设项目地理位置图</w:t>
      </w:r>
      <w:bookmarkEnd w:id="11"/>
    </w:p>
    <w:p w14:paraId="5C0EB637">
      <w:pPr>
        <w:pStyle w:val="45"/>
        <w:spacing w:before="163"/>
        <w:rPr>
          <w:rFonts w:ascii="Times New Roman" w:hAnsi="Times New Roman"/>
        </w:rPr>
      </w:pPr>
      <w:r>
        <mc:AlternateContent>
          <mc:Choice Requires="wps">
            <w:drawing>
              <wp:anchor distT="0" distB="0" distL="114300" distR="114300" simplePos="0" relativeHeight="251680768" behindDoc="0" locked="0" layoutInCell="1" allowOverlap="1">
                <wp:simplePos x="0" y="0"/>
                <wp:positionH relativeFrom="column">
                  <wp:posOffset>3553460</wp:posOffset>
                </wp:positionH>
                <wp:positionV relativeFrom="paragraph">
                  <wp:posOffset>2993390</wp:posOffset>
                </wp:positionV>
                <wp:extent cx="803910" cy="3346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03910" cy="334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3DE21">
                            <w:pPr>
                              <w:rPr>
                                <w:b/>
                                <w:bCs/>
                                <w:color w:val="FFFF00"/>
                              </w:rPr>
                            </w:pPr>
                            <w:r>
                              <w:rPr>
                                <w:rFonts w:hint="eastAsia"/>
                                <w:b/>
                                <w:bCs/>
                                <w:color w:val="FFFF00"/>
                              </w:rPr>
                              <w:t>294m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8pt;margin-top:235.7pt;height:26.35pt;width:63.3pt;z-index:251680768;mso-width-relative:page;mso-height-relative:page;" filled="f" stroked="f" coordsize="21600,21600" o:gfxdata="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tvZJ3AAAAAsBAAAPAAAAAAAAAAEAIAAAACIAAABk&#10;cnMvZG93bnJldi54bWxQSwECFAAUAAAACACHTuJALSZJFjsCAABnBAAADgAAAAAAAAABACAAAAAr&#10;AQAAZHJzL2Uyb0RvYy54bWxQSwUGAAAAAAYABgBZAQAA2AUAAAAA&#10;">
                <v:fill on="f" focussize="0,0"/>
                <v:stroke on="f" weight="0.5pt"/>
                <v:imagedata o:title=""/>
                <o:lock v:ext="edit" aspectratio="f"/>
                <v:textbox>
                  <w:txbxContent>
                    <w:p w14:paraId="3183DE21">
                      <w:pPr>
                        <w:rPr>
                          <w:b/>
                          <w:bCs/>
                          <w:color w:val="FFFF00"/>
                        </w:rPr>
                      </w:pPr>
                      <w:r>
                        <w:rPr>
                          <w:rFonts w:hint="eastAsia"/>
                          <w:b/>
                          <w:bCs/>
                          <w:color w:val="FFFF00"/>
                        </w:rPr>
                        <w:t>294m</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3782060</wp:posOffset>
                </wp:positionH>
                <wp:positionV relativeFrom="paragraph">
                  <wp:posOffset>3442970</wp:posOffset>
                </wp:positionV>
                <wp:extent cx="803910" cy="334645"/>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803910" cy="334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C8074">
                            <w:pPr>
                              <w:rPr>
                                <w:b/>
                                <w:bCs/>
                                <w:color w:val="FFFF00"/>
                              </w:rPr>
                            </w:pPr>
                            <w:r>
                              <w:rPr>
                                <w:rFonts w:hint="eastAsia"/>
                                <w:b/>
                                <w:bCs/>
                                <w:color w:val="FFFF00"/>
                              </w:rPr>
                              <w:t>355m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8pt;margin-top:271.1pt;height:26.35pt;width:63.3pt;z-index:251679744;mso-width-relative:page;mso-height-relative:page;" filled="f" stroked="f" coordsize="21600,21600" o:gfxdata="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LfbB2gAAAAsBAAAPAAAAAAAAAAEAIAAAACIAAABk&#10;cnMvZG93bnJldi54bWxQSwECFAAUAAAACACHTuJAXTDekz0CAABnBAAADgAAAAAAAAABACAAAAAp&#10;AQAAZHJzL2Uyb0RvYy54bWxQSwUGAAAAAAYABgBZAQAA2AUAAAAA&#10;">
                <v:fill on="f" focussize="0,0"/>
                <v:stroke on="f" weight="0.5pt"/>
                <v:imagedata o:title=""/>
                <o:lock v:ext="edit" aspectratio="f"/>
                <v:textbox>
                  <w:txbxContent>
                    <w:p w14:paraId="727C8074">
                      <w:pPr>
                        <w:rPr>
                          <w:b/>
                          <w:bCs/>
                          <w:color w:val="FFFF00"/>
                        </w:rPr>
                      </w:pPr>
                      <w:r>
                        <w:rPr>
                          <w:rFonts w:hint="eastAsia"/>
                          <w:b/>
                          <w:bCs/>
                          <w:color w:val="FFFF00"/>
                        </w:rPr>
                        <w:t>355m</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4376420</wp:posOffset>
                </wp:positionH>
                <wp:positionV relativeFrom="paragraph">
                  <wp:posOffset>3024505</wp:posOffset>
                </wp:positionV>
                <wp:extent cx="76200" cy="1324610"/>
                <wp:effectExtent l="12700" t="635" r="63500" b="635"/>
                <wp:wrapNone/>
                <wp:docPr id="2" name="直接箭头连接符 2"/>
                <wp:cNvGraphicFramePr/>
                <a:graphic xmlns:a="http://schemas.openxmlformats.org/drawingml/2006/main">
                  <a:graphicData uri="http://schemas.microsoft.com/office/word/2010/wordprocessingShape">
                    <wps:wsp>
                      <wps:cNvCnPr/>
                      <wps:spPr>
                        <a:xfrm>
                          <a:off x="5410200" y="3772535"/>
                          <a:ext cx="76200" cy="132461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44.6pt;margin-top:238.15pt;height:104.3pt;width:6pt;z-index:251669504;mso-width-relative:page;mso-height-relative:page;" filled="f" stroked="t" coordsize="21600,21600" o:gfxdata="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plR/9oAAAALAQAADwAAAAAAAAABACAAAAAi&#10;AAAAZHJzL2Rvd25yZXYueG1sUEsBAhQAFAAAAAgAh07iQML9J1UIAgAA2AMAAA4AAAAAAAAAAQAg&#10;AAAAKQEAAGRycy9lMm9Eb2MueG1sUEsFBgAAAAAGAAYAWQEAAKMFAAAAAA==&#10;">
                <v:fill on="f" focussize="0,0"/>
                <v:stroke weight="2pt" color="#FFFF00 [3204]" joinstyle="round" endarrow="open"/>
                <v:imagedata o:title=""/>
                <o:lock v:ext="edit" aspectratio="f"/>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5415915</wp:posOffset>
                </wp:positionH>
                <wp:positionV relativeFrom="paragraph">
                  <wp:posOffset>2270760</wp:posOffset>
                </wp:positionV>
                <wp:extent cx="914400" cy="283845"/>
                <wp:effectExtent l="0" t="0" r="0" b="0"/>
                <wp:wrapNone/>
                <wp:docPr id="13" name="文本框 13"/>
                <wp:cNvGraphicFramePr/>
                <a:graphic xmlns:a="http://schemas.openxmlformats.org/drawingml/2006/main">
                  <a:graphicData uri="http://schemas.microsoft.com/office/word/2010/wordprocessingShape">
                    <wps:wsp>
                      <wps:cNvSpPr txBox="1"/>
                      <wps:spPr>
                        <a:xfrm>
                          <a:off x="6269355" y="4479290"/>
                          <a:ext cx="914400" cy="283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DE9F6">
                            <w:pPr>
                              <w:rPr>
                                <w:b/>
                                <w:bCs/>
                                <w:color w:val="FFFF00"/>
                              </w:rPr>
                            </w:pPr>
                            <w:r>
                              <w:rPr>
                                <w:rFonts w:hint="eastAsia"/>
                                <w:b/>
                                <w:bCs/>
                                <w:color w:val="FFFF00"/>
                              </w:rPr>
                              <w:t>500m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6.45pt;margin-top:178.8pt;height:22.35pt;width:72pt;z-index:251672576;mso-width-relative:page;mso-height-relative:page;" filled="f" stroked="f" coordsize="21600,21600" o:gfxdata="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U/jTU3QAAAAsBAAAPAAAAAAAA&#10;AAEAIAAAACIAAABkcnMvZG93bnJldi54bWxQSwECFAAUAAAACACHTuJAq5nmjkYCAABzBAAADgAA&#10;AAAAAAABACAAAAAsAQAAZHJzL2Uyb0RvYy54bWxQSwUGAAAAAAYABgBZAQAA5AUAAAAA&#10;">
                <v:fill on="f" focussize="0,0"/>
                <v:stroke on="f" weight="0.5pt"/>
                <v:imagedata o:title=""/>
                <o:lock v:ext="edit" aspectratio="f"/>
                <v:textbox>
                  <w:txbxContent>
                    <w:p w14:paraId="41EDE9F6">
                      <w:pPr>
                        <w:rPr>
                          <w:b/>
                          <w:bCs/>
                          <w:color w:val="FFFF00"/>
                        </w:rPr>
                      </w:pPr>
                      <w:r>
                        <w:rPr>
                          <w:rFonts w:hint="eastAsia"/>
                          <w:b/>
                          <w:bCs/>
                          <w:color w:val="FFFF00"/>
                        </w:rPr>
                        <w:t>500m</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4848860</wp:posOffset>
                </wp:positionH>
                <wp:positionV relativeFrom="paragraph">
                  <wp:posOffset>2314575</wp:posOffset>
                </wp:positionV>
                <wp:extent cx="2164080" cy="427990"/>
                <wp:effectExtent l="2540" t="36830" r="12700" b="22860"/>
                <wp:wrapNone/>
                <wp:docPr id="12" name="直接箭头连接符 12"/>
                <wp:cNvGraphicFramePr/>
                <a:graphic xmlns:a="http://schemas.openxmlformats.org/drawingml/2006/main">
                  <a:graphicData uri="http://schemas.microsoft.com/office/word/2010/wordprocessingShape">
                    <wps:wsp>
                      <wps:cNvCnPr/>
                      <wps:spPr>
                        <a:xfrm flipV="1">
                          <a:off x="5735955" y="3827780"/>
                          <a:ext cx="2164080" cy="42799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81.8pt;margin-top:182.25pt;height:33.7pt;width:170.4pt;z-index:251671552;mso-width-relative:page;mso-height-relative:page;" filled="f" stroked="t" coordsize="21600,21600" o:gfxdata="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afM262gAAAAwBAAAPAAAA&#10;AAAAAAEAIAAAACIAAABkcnMvZG93bnJldi54bWxQSwECFAAUAAAACACHTuJAlIo01BMCAADlAwAA&#10;DgAAAAAAAAABACAAAAApAQAAZHJzL2Uyb0RvYy54bWxQSwUGAAAAAAYABgBZAQAArgUAAAAA&#10;">
                <v:fill on="f" focussize="0,0"/>
                <v:stroke weight="2pt" color="#FFFF00 [3204]" joinstyle="round" endarrow="open"/>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4467860</wp:posOffset>
                </wp:positionH>
                <wp:positionV relativeFrom="paragraph">
                  <wp:posOffset>3549650</wp:posOffset>
                </wp:positionV>
                <wp:extent cx="803910" cy="334645"/>
                <wp:effectExtent l="0" t="0" r="0" b="0"/>
                <wp:wrapNone/>
                <wp:docPr id="9" name="文本框 9"/>
                <wp:cNvGraphicFramePr/>
                <a:graphic xmlns:a="http://schemas.openxmlformats.org/drawingml/2006/main">
                  <a:graphicData uri="http://schemas.microsoft.com/office/word/2010/wordprocessingShape">
                    <wps:wsp>
                      <wps:cNvSpPr txBox="1"/>
                      <wps:spPr>
                        <a:xfrm>
                          <a:off x="5119370" y="3599180"/>
                          <a:ext cx="803910" cy="334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762B7">
                            <w:pPr>
                              <w:rPr>
                                <w:b/>
                                <w:bCs/>
                                <w:color w:val="FFFF00"/>
                              </w:rPr>
                            </w:pPr>
                            <w:r>
                              <w:rPr>
                                <w:rFonts w:hint="eastAsia"/>
                                <w:b/>
                                <w:bCs/>
                                <w:color w:val="FFFF00"/>
                              </w:rPr>
                              <w:t>350m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8pt;margin-top:279.5pt;height:26.35pt;width:63.3pt;z-index:251670528;mso-width-relative:page;mso-height-relative:page;" filled="f" stroked="f" coordsize="21600,21600" o:gfxdata="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y8hTL3AAAAAsBAAAPAAAAAAAA&#10;AAEAIAAAACIAAABkcnMvZG93bnJldi54bWxQSwECFAAUAAAACACHTuJA6UgpdUcCAABxBAAADgAA&#10;AAAAAAABACAAAAArAQAAZHJzL2Uyb0RvYy54bWxQSwUGAAAAAAYABgBZAQAA5AUAAAAA&#10;">
                <v:fill on="f" focussize="0,0"/>
                <v:stroke on="f" weight="0.5pt"/>
                <v:imagedata o:title=""/>
                <o:lock v:ext="edit" aspectratio="f"/>
                <v:textbox>
                  <w:txbxContent>
                    <w:p w14:paraId="1B6762B7">
                      <w:pPr>
                        <w:rPr>
                          <w:b/>
                          <w:bCs/>
                          <w:color w:val="FFFF00"/>
                        </w:rPr>
                      </w:pPr>
                      <w:r>
                        <w:rPr>
                          <w:rFonts w:hint="eastAsia"/>
                          <w:b/>
                          <w:bCs/>
                          <w:color w:val="FFFF00"/>
                        </w:rPr>
                        <w:t>350m</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3752215</wp:posOffset>
                </wp:positionH>
                <wp:positionV relativeFrom="paragraph">
                  <wp:posOffset>2320925</wp:posOffset>
                </wp:positionV>
                <wp:extent cx="904875" cy="291465"/>
                <wp:effectExtent l="4445" t="5080" r="127000" b="297815"/>
                <wp:wrapNone/>
                <wp:docPr id="37" name="AutoShape 33"/>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61157"/>
                            <a:gd name="adj2" fmla="val 145206"/>
                          </a:avLst>
                        </a:prstGeom>
                        <a:solidFill>
                          <a:srgbClr val="FFFFFF">
                            <a:alpha val="50195"/>
                          </a:srgbClr>
                        </a:solidFill>
                        <a:ln w="9525">
                          <a:solidFill>
                            <a:srgbClr val="FF0000"/>
                          </a:solidFill>
                          <a:miter lim="800000"/>
                        </a:ln>
                      </wps:spPr>
                      <wps:txbx>
                        <w:txbxContent>
                          <w:p w14:paraId="6554819C">
                            <w:pPr>
                              <w:rPr>
                                <w:b/>
                                <w:bCs/>
                                <w:color w:val="FF0000"/>
                                <w:szCs w:val="28"/>
                              </w:rPr>
                            </w:pPr>
                            <w:r>
                              <w:rPr>
                                <w:rFonts w:hint="eastAsia"/>
                                <w:b/>
                                <w:bCs/>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AutoShape 33" o:spid="_x0000_s1026" o:spt="61" type="#_x0000_t61" style="position:absolute;left:0pt;margin-left:295.45pt;margin-top:182.75pt;height:22.95pt;width:71.25pt;z-index:251668480;mso-width-relative:page;mso-height-relative:page;" fillcolor="#FFFFFF" filled="t" stroked="t" coordsize="21600,21600" o:gfxdata="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1tsfo2QAAAAsBAAAPAAAAAAAAAAEAIAAAACIAAABkcnMvZG93bnJldi54&#10;bWxQSwECFAAUAAAACACHTuJAhcnTuGsCAAD9BAAADgAAAAAAAAABACAAAAAoAQAAZHJzL2Uyb0Rv&#10;Yy54bWxQSwUGAAAAAAYABgBZAQAABQYAAAAA&#10;" adj="24010,42164">
                <v:fill on="t" opacity="32895f" focussize="0,0"/>
                <v:stroke color="#FF0000" miterlimit="8" joinstyle="miter"/>
                <v:imagedata o:title=""/>
                <o:lock v:ext="edit" aspectratio="f"/>
                <v:textbox>
                  <w:txbxContent>
                    <w:p w14:paraId="6554819C">
                      <w:pPr>
                        <w:rPr>
                          <w:b/>
                          <w:bCs/>
                          <w:color w:val="FF0000"/>
                          <w:szCs w:val="28"/>
                        </w:rPr>
                      </w:pPr>
                      <w:r>
                        <w:rPr>
                          <w:rFonts w:hint="eastAsia"/>
                          <w:b/>
                          <w:bCs/>
                          <w:color w:val="FF0000"/>
                          <w:szCs w:val="28"/>
                        </w:rPr>
                        <w:t>项目所在地</w:t>
                      </w:r>
                    </w:p>
                  </w:txbxContent>
                </v:textbox>
              </v:shape>
            </w:pict>
          </mc:Fallback>
        </mc:AlternateContent>
      </w:r>
      <w:r>
        <w:rPr>
          <w:rFonts w:ascii="Times New Roman" w:hAnsi="Times New Roman"/>
        </w:rPr>
        <w:drawing>
          <wp:anchor distT="0" distB="0" distL="114300" distR="114300" simplePos="0" relativeHeight="251667456" behindDoc="0" locked="0" layoutInCell="1" allowOverlap="1">
            <wp:simplePos x="0" y="0"/>
            <wp:positionH relativeFrom="column">
              <wp:posOffset>7236460</wp:posOffset>
            </wp:positionH>
            <wp:positionV relativeFrom="paragraph">
              <wp:posOffset>57150</wp:posOffset>
            </wp:positionV>
            <wp:extent cx="679450" cy="78803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8">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t xml:space="preserve"> </w:t>
      </w:r>
      <w:r>
        <mc:AlternateContent>
          <mc:Choice Requires="wps">
            <w:drawing>
              <wp:anchor distT="0" distB="0" distL="114300" distR="114300" simplePos="0" relativeHeight="251678720" behindDoc="0" locked="0" layoutInCell="1" allowOverlap="1">
                <wp:simplePos x="0" y="0"/>
                <wp:positionH relativeFrom="column">
                  <wp:posOffset>4269740</wp:posOffset>
                </wp:positionH>
                <wp:positionV relativeFrom="paragraph">
                  <wp:posOffset>3011805</wp:posOffset>
                </wp:positionV>
                <wp:extent cx="114300" cy="1310640"/>
                <wp:effectExtent l="48260" t="1270" r="20320" b="13970"/>
                <wp:wrapNone/>
                <wp:docPr id="57" name="直接箭头连接符 57"/>
                <wp:cNvGraphicFramePr/>
                <a:graphic xmlns:a="http://schemas.openxmlformats.org/drawingml/2006/main">
                  <a:graphicData uri="http://schemas.microsoft.com/office/word/2010/wordprocessingShape">
                    <wps:wsp>
                      <wps:cNvCnPr/>
                      <wps:spPr>
                        <a:xfrm flipH="1">
                          <a:off x="0" y="0"/>
                          <a:ext cx="114300" cy="131064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36.2pt;margin-top:237.15pt;height:103.2pt;width:9pt;z-index:251678720;mso-width-relative:page;mso-height-relative:page;" filled="f" stroked="t" coordsize="21600,21600" o:gfxdata="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DjpzY2AAAAAsBAAAPAAAAAAAAAAEAIAAAACIAAABk&#10;cnMvZG93bnJldi54bWxQSwECFAAUAAAACACHTuJAmo4JywYCAADZAwAADgAAAAAAAAABACAAAAAn&#10;AQAAZHJzL2Uyb0RvYy54bWxQSwUGAAAAAAYABgBZAQAAnwUAAAAA&#10;">
                <v:fill on="f" focussize="0,0"/>
                <v:stroke weight="2pt" color="#FFFF00 [3204]" joinstyle="round" endarrow="open"/>
                <v:imagedata o:title=""/>
                <o:lock v:ext="edit" aspectratio="f"/>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3088640</wp:posOffset>
                </wp:positionH>
                <wp:positionV relativeFrom="paragraph">
                  <wp:posOffset>2912745</wp:posOffset>
                </wp:positionV>
                <wp:extent cx="1249680" cy="182880"/>
                <wp:effectExtent l="0" t="12700" r="15240" b="48260"/>
                <wp:wrapNone/>
                <wp:docPr id="61" name="直接箭头连接符 61"/>
                <wp:cNvGraphicFramePr/>
                <a:graphic xmlns:a="http://schemas.openxmlformats.org/drawingml/2006/main">
                  <a:graphicData uri="http://schemas.microsoft.com/office/word/2010/wordprocessingShape">
                    <wps:wsp>
                      <wps:cNvCnPr/>
                      <wps:spPr>
                        <a:xfrm flipH="1">
                          <a:off x="0" y="0"/>
                          <a:ext cx="1249680" cy="18288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43.2pt;margin-top:229.35pt;height:14.4pt;width:98.4pt;z-index:251681792;mso-width-relative:page;mso-height-relative:page;" filled="f" stroked="t" coordsize="21600,21600" o:gfxdata="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LLH3dkAAAALAQAADwAAAAAAAAABACAAAAAiAAAA&#10;ZHJzL2Rvd25yZXYueG1sUEsBAhQAFAAAAAgAh07iQC/TVNsGAgAA2QMAAA4AAAAAAAAAAQAgAAAA&#10;KAEAAGRycy9lMm9Eb2MueG1sUEsFBgAAAAAGAAYAWQEAAKAFAAAAAA==&#10;">
                <v:fill on="f" focussize="0,0"/>
                <v:stroke weight="2pt" color="#FFFF00 [3204]" joinstyle="round" endarrow="open"/>
                <v:imagedata o:title=""/>
                <o:lock v:ext="edit" aspectratio="f"/>
              </v:shape>
            </w:pict>
          </mc:Fallback>
        </mc:AlternateContent>
      </w:r>
      <w:r>
        <w:drawing>
          <wp:inline distT="0" distB="0" distL="114300" distR="114300">
            <wp:extent cx="7726045" cy="5641340"/>
            <wp:effectExtent l="0" t="0" r="635" b="1270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10"/>
                    <a:stretch>
                      <a:fillRect/>
                    </a:stretch>
                  </pic:blipFill>
                  <pic:spPr>
                    <a:xfrm>
                      <a:off x="0" y="0"/>
                      <a:ext cx="7726045" cy="5641340"/>
                    </a:xfrm>
                    <a:prstGeom prst="rect">
                      <a:avLst/>
                    </a:prstGeom>
                    <a:noFill/>
                    <a:ln>
                      <a:noFill/>
                    </a:ln>
                  </pic:spPr>
                </pic:pic>
              </a:graphicData>
            </a:graphic>
          </wp:inline>
        </w:drawing>
      </w:r>
    </w:p>
    <w:p w14:paraId="3B71493A">
      <w:pPr>
        <w:pStyle w:val="3"/>
      </w:pPr>
      <w:bookmarkStart w:id="12" w:name="_Toc30540"/>
      <w:r>
        <w:t xml:space="preserve">附图2  </w:t>
      </w:r>
      <w:r>
        <w:rPr>
          <w:rFonts w:hint="eastAsia"/>
        </w:rPr>
        <w:t>建设项目周边</w:t>
      </w:r>
      <w:bookmarkStart w:id="13" w:name="_Hlk149211743"/>
      <w:r>
        <w:rPr>
          <w:rFonts w:hint="eastAsia"/>
        </w:rPr>
        <w:t>环境示意图</w:t>
      </w:r>
      <w:bookmarkEnd w:id="12"/>
      <w:bookmarkEnd w:id="13"/>
    </w:p>
    <w:p w14:paraId="04130978">
      <w:pPr>
        <w:jc w:val="center"/>
        <w:rPr>
          <w:b/>
          <w:bCs/>
        </w:rPr>
      </w:pPr>
      <w:r>
        <mc:AlternateContent>
          <mc:Choice Requires="wps">
            <w:drawing>
              <wp:anchor distT="0" distB="0" distL="114300" distR="114300" simplePos="0" relativeHeight="251665408" behindDoc="0" locked="0" layoutInCell="1" allowOverlap="1">
                <wp:simplePos x="0" y="0"/>
                <wp:positionH relativeFrom="column">
                  <wp:posOffset>5407660</wp:posOffset>
                </wp:positionH>
                <wp:positionV relativeFrom="paragraph">
                  <wp:posOffset>1455420</wp:posOffset>
                </wp:positionV>
                <wp:extent cx="1024255" cy="291465"/>
                <wp:effectExtent l="11430" t="10160" r="12065" b="479425"/>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0D614164">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425.8pt;margin-top:114.6pt;height:22.95pt;width:80.65pt;z-index:251665408;mso-width-relative:page;mso-height-relative:page;" fillcolor="#FFFFFF" filled="t" stroked="t" coordsize="21600,21600" o:gfxdata="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zofUS2wAA&#10;AAwBAAAPAAAAAAAAAAEAIAAAACIAAABkcnMvZG93bnJldi54bWxQSwECFAAUAAAACACHTuJAxjJU&#10;ho0CAAAKBQAADgAAAAAAAAABACAAAAAqAQAAZHJzL2Uyb0RvYy54bWxQSwUGAAAAAAYABgBZAQAA&#10;KQYAAAAA&#10;" adj="4513,56706">
                <v:fill on="t" opacity="32895f" focussize="0,0"/>
                <v:stroke color="#FF0000" miterlimit="8" joinstyle="miter"/>
                <v:imagedata o:title=""/>
                <o:lock v:ext="edit" aspectratio="f"/>
                <v:textbox>
                  <w:txbxContent>
                    <w:p w14:paraId="0D614164">
                      <w:pPr>
                        <w:rPr>
                          <w:b/>
                          <w:color w:val="FF0000"/>
                          <w:szCs w:val="28"/>
                        </w:rPr>
                      </w:pPr>
                      <w:r>
                        <w:rPr>
                          <w:rFonts w:hint="eastAsia"/>
                          <w:b/>
                          <w:color w:val="FF0000"/>
                          <w:szCs w:val="28"/>
                        </w:rPr>
                        <w:t>项目所在地</w:t>
                      </w:r>
                    </w:p>
                  </w:txbxContent>
                </v:textbox>
              </v:shape>
            </w:pict>
          </mc:Fallback>
        </mc:AlternateContent>
      </w:r>
      <w:r>
        <w:drawing>
          <wp:inline distT="0" distB="0" distL="114300" distR="114300">
            <wp:extent cx="8077835" cy="5728970"/>
            <wp:effectExtent l="0" t="0" r="14605" b="127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tretch>
                      <a:fillRect/>
                    </a:stretch>
                  </pic:blipFill>
                  <pic:spPr>
                    <a:xfrm>
                      <a:off x="0" y="0"/>
                      <a:ext cx="8077835" cy="5728970"/>
                    </a:xfrm>
                    <a:prstGeom prst="rect">
                      <a:avLst/>
                    </a:prstGeom>
                    <a:noFill/>
                    <a:ln>
                      <a:noFill/>
                    </a:ln>
                  </pic:spPr>
                </pic:pic>
              </a:graphicData>
            </a:graphic>
          </wp:inline>
        </w:drawing>
      </w:r>
    </w:p>
    <w:p w14:paraId="695EFA70">
      <w:pPr>
        <w:pStyle w:val="3"/>
      </w:pPr>
      <w:bookmarkStart w:id="14" w:name="_Toc14997"/>
      <w:bookmarkStart w:id="15" w:name="_Hlk149211883"/>
      <w:r>
        <w:t xml:space="preserve">附图3  </w:t>
      </w:r>
      <w:r>
        <w:rPr>
          <w:rFonts w:hint="eastAsia"/>
        </w:rPr>
        <w:t>临平区</w:t>
      </w:r>
      <w:r>
        <w:t>环境管控单元</w:t>
      </w:r>
      <w:r>
        <w:rPr>
          <w:rFonts w:hint="eastAsia"/>
        </w:rPr>
        <w:t>分类</w:t>
      </w:r>
      <w:r>
        <w:t>图</w:t>
      </w:r>
      <w:bookmarkEnd w:id="14"/>
      <w:bookmarkEnd w:id="15"/>
    </w:p>
    <w:p w14:paraId="7BBA7D37">
      <w:pPr>
        <w:jc w:val="center"/>
      </w:pPr>
      <w:r>
        <mc:AlternateContent>
          <mc:Choice Requires="wps">
            <w:drawing>
              <wp:anchor distT="0" distB="0" distL="114300" distR="114300" simplePos="0" relativeHeight="251666432" behindDoc="0" locked="0" layoutInCell="1" allowOverlap="1">
                <wp:simplePos x="0" y="0"/>
                <wp:positionH relativeFrom="column">
                  <wp:posOffset>6064885</wp:posOffset>
                </wp:positionH>
                <wp:positionV relativeFrom="paragraph">
                  <wp:posOffset>1207770</wp:posOffset>
                </wp:positionV>
                <wp:extent cx="944880" cy="291465"/>
                <wp:effectExtent l="4445" t="5080" r="10795" b="480695"/>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1303"/>
                            <a:gd name="adj2" fmla="val 205773"/>
                          </a:avLst>
                        </a:prstGeom>
                        <a:solidFill>
                          <a:srgbClr val="FFFFFF">
                            <a:alpha val="50195"/>
                          </a:srgbClr>
                        </a:solidFill>
                        <a:ln w="9525">
                          <a:solidFill>
                            <a:srgbClr val="FF0000"/>
                          </a:solidFill>
                          <a:miter lim="800000"/>
                        </a:ln>
                      </wps:spPr>
                      <wps:txbx>
                        <w:txbxContent>
                          <w:p w14:paraId="5BE99F63">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477.55pt;margin-top:95.1pt;height:22.95pt;width:74.4pt;z-index:251666432;mso-width-relative:page;mso-height-relative:page;" fillcolor="#FFFFFF" filled="t" stroked="t" coordsize="21600,21600" o:gfxdata="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A6U6n9wA&#10;AAAMAQAADwAAAAAAAAABACAAAAAiAAAAZHJzL2Rvd25yZXYueG1sUEsBAhQAFAAAAAgAh07iQBtR&#10;1ISNAgAACQUAAA4AAAAAAAAAAQAgAAAAKwEAAGRycy9lMm9Eb2MueG1sUEsFBgAAAAAGAAYAWQEA&#10;ACoGAAAAAA==&#10;" adj="6199,55247">
                <v:fill on="t" opacity="32895f" focussize="0,0"/>
                <v:stroke color="#FF0000" miterlimit="8" joinstyle="miter"/>
                <v:imagedata o:title=""/>
                <o:lock v:ext="edit" aspectratio="f"/>
                <v:textbox>
                  <w:txbxContent>
                    <w:p w14:paraId="5BE99F63">
                      <w:pPr>
                        <w:rPr>
                          <w:b/>
                          <w:color w:val="FF0000"/>
                          <w:szCs w:val="28"/>
                        </w:rPr>
                      </w:pPr>
                      <w:r>
                        <w:rPr>
                          <w:rFonts w:hint="eastAsia"/>
                          <w:b/>
                          <w:color w:val="FF0000"/>
                          <w:szCs w:val="28"/>
                        </w:rPr>
                        <w:t>项目所在地</w:t>
                      </w:r>
                    </w:p>
                  </w:txbxContent>
                </v:textbox>
              </v:shape>
            </w:pict>
          </mc:Fallback>
        </mc:AlternateContent>
      </w:r>
      <w:r>
        <w:drawing>
          <wp:inline distT="0" distB="0" distL="0" distR="0">
            <wp:extent cx="5875655" cy="52654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3C62A1B7">
      <w:pPr>
        <w:pStyle w:val="3"/>
      </w:pPr>
      <w:bookmarkStart w:id="16" w:name="_Toc14025"/>
      <w:bookmarkStart w:id="17" w:name="_Hlk149211906"/>
      <w:r>
        <w:t>附图4  杭州市临平区</w:t>
      </w:r>
      <w:r>
        <w:rPr>
          <w:rFonts w:hint="eastAsia"/>
        </w:rPr>
        <w:t>三区三线</w:t>
      </w:r>
      <w:r>
        <w:t>图</w:t>
      </w:r>
      <w:bookmarkEnd w:id="16"/>
    </w:p>
    <w:bookmarkEnd w:id="17"/>
    <w:p w14:paraId="2EE2B157"/>
    <w:p w14:paraId="49BA1180"/>
    <w:p w14:paraId="023E2C80"/>
    <w:p w14:paraId="263DEB8A">
      <w:pPr>
        <w:jc w:val="center"/>
        <w:rPr>
          <w:sz w:val="32"/>
          <w:szCs w:val="32"/>
        </w:rPr>
      </w:pPr>
      <w:r>
        <mc:AlternateContent>
          <mc:Choice Requires="wps">
            <w:drawing>
              <wp:anchor distT="0" distB="0" distL="114300" distR="114300" simplePos="0" relativeHeight="251673600" behindDoc="0" locked="0" layoutInCell="1" allowOverlap="1">
                <wp:simplePos x="0" y="0"/>
                <wp:positionH relativeFrom="column">
                  <wp:posOffset>5525135</wp:posOffset>
                </wp:positionH>
                <wp:positionV relativeFrom="paragraph">
                  <wp:posOffset>1344930</wp:posOffset>
                </wp:positionV>
                <wp:extent cx="944880" cy="291465"/>
                <wp:effectExtent l="4445" t="5080" r="10795" b="495935"/>
                <wp:wrapNone/>
                <wp:docPr id="16"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5672"/>
                            <a:gd name="adj2" fmla="val 212962"/>
                          </a:avLst>
                        </a:prstGeom>
                        <a:solidFill>
                          <a:srgbClr val="FFFFFF">
                            <a:alpha val="50195"/>
                          </a:srgbClr>
                        </a:solidFill>
                        <a:ln w="9525">
                          <a:solidFill>
                            <a:srgbClr val="FF0000"/>
                          </a:solidFill>
                          <a:miter lim="800000"/>
                        </a:ln>
                      </wps:spPr>
                      <wps:txbx>
                        <w:txbxContent>
                          <w:p w14:paraId="59E1EE05">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435.05pt;margin-top:105.9pt;height:22.95pt;width:74.4pt;z-index:251673600;mso-width-relative:page;mso-height-relative:page;" fillcolor="#FFFFFF" filled="t" stroked="t" coordsize="21600,21600" o:gfxdata="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t02D9NsA&#10;AAAMAQAADwAAAAAAAAABACAAAAAiAAAAZHJzL2Rvd25yZXYueG1sUEsBAhQAFAAAAAgAh07iQOmP&#10;5AGOAgAACQUAAA4AAAAAAAAAAQAgAAAAKgEAAGRycy9lMm9Eb2MueG1sUEsFBgAAAAAGAAYAWQEA&#10;ACoGAAAAAA==&#10;" adj="5255,56800">
                <v:fill on="t" opacity="32895f" focussize="0,0"/>
                <v:stroke color="#FF0000" miterlimit="8" joinstyle="miter"/>
                <v:imagedata o:title=""/>
                <o:lock v:ext="edit" aspectratio="f"/>
                <v:textbox>
                  <w:txbxContent>
                    <w:p w14:paraId="59E1EE05">
                      <w:pPr>
                        <w:rPr>
                          <w:b/>
                          <w:color w:val="FF0000"/>
                          <w:szCs w:val="28"/>
                        </w:rPr>
                      </w:pPr>
                      <w:r>
                        <w:rPr>
                          <w:rFonts w:hint="eastAsia"/>
                          <w:b/>
                          <w:color w:val="FF0000"/>
                          <w:szCs w:val="28"/>
                        </w:rPr>
                        <w:t>项目所在地</w:t>
                      </w:r>
                    </w:p>
                  </w:txbxContent>
                </v:textbox>
              </v:shape>
            </w:pict>
          </mc:Fallback>
        </mc:AlternateContent>
      </w:r>
      <w:r>
        <w:rPr>
          <w:sz w:val="32"/>
          <w:szCs w:val="32"/>
        </w:rPr>
        <w:drawing>
          <wp:inline distT="0" distB="0" distL="114300" distR="114300">
            <wp:extent cx="7285355" cy="5152390"/>
            <wp:effectExtent l="0" t="0" r="14605" b="1397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3"/>
                    <a:stretch>
                      <a:fillRect/>
                    </a:stretch>
                  </pic:blipFill>
                  <pic:spPr>
                    <a:xfrm>
                      <a:off x="0" y="0"/>
                      <a:ext cx="7285355" cy="5152390"/>
                    </a:xfrm>
                    <a:prstGeom prst="rect">
                      <a:avLst/>
                    </a:prstGeom>
                    <a:noFill/>
                    <a:ln>
                      <a:noFill/>
                    </a:ln>
                  </pic:spPr>
                </pic:pic>
              </a:graphicData>
            </a:graphic>
          </wp:inline>
        </w:drawing>
      </w:r>
    </w:p>
    <w:p w14:paraId="3081DA16">
      <w:pPr>
        <w:pStyle w:val="3"/>
      </w:pPr>
      <w:bookmarkStart w:id="18" w:name="_Toc30322"/>
      <w:r>
        <w:t>附图</w:t>
      </w:r>
      <w:r>
        <w:rPr>
          <w:rFonts w:hint="eastAsia"/>
        </w:rPr>
        <w:t>5</w:t>
      </w:r>
      <w:r>
        <w:t xml:space="preserve">  临平区</w:t>
      </w:r>
      <w:r>
        <w:rPr>
          <w:rFonts w:hint="eastAsia"/>
        </w:rPr>
        <w:t>声环境功能区划图</w:t>
      </w:r>
      <w:bookmarkEnd w:id="18"/>
    </w:p>
    <w:p w14:paraId="00985D61">
      <w:pPr>
        <w:jc w:val="center"/>
        <w:rPr>
          <w:sz w:val="32"/>
          <w:szCs w:val="32"/>
        </w:rPr>
        <w:sectPr>
          <w:headerReference r:id="rId4" w:type="default"/>
          <w:footerReference r:id="rId5" w:type="default"/>
          <w:pgSz w:w="16838" w:h="11906" w:orient="landscape"/>
          <w:pgMar w:top="1134" w:right="1417" w:bottom="1230" w:left="1417" w:header="851" w:footer="992" w:gutter="0"/>
          <w:pgNumType w:fmt="decimal"/>
          <w:cols w:space="425" w:num="1"/>
          <w:docGrid w:type="lines" w:linePitch="312" w:charSpace="0"/>
        </w:sectPr>
      </w:pPr>
    </w:p>
    <w:p w14:paraId="70430E7A">
      <w:pPr>
        <w:tabs>
          <w:tab w:val="left" w:pos="960"/>
        </w:tabs>
        <w:jc w:val="center"/>
      </w:pPr>
      <w:bookmarkStart w:id="19" w:name="_Toc18269"/>
      <w:r>
        <w:rPr>
          <w:rFonts w:hint="eastAsia"/>
        </w:rPr>
        <w:drawing>
          <wp:inline distT="0" distB="0" distL="114300" distR="114300">
            <wp:extent cx="5105400" cy="7048500"/>
            <wp:effectExtent l="0" t="0" r="0" b="7620"/>
            <wp:docPr id="25" name="图片 25" descr="微信截图_20250326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截图_20250326100105"/>
                    <pic:cNvPicPr>
                      <a:picLocks noChangeAspect="1"/>
                    </pic:cNvPicPr>
                  </pic:nvPicPr>
                  <pic:blipFill>
                    <a:blip r:embed="rId14"/>
                    <a:stretch>
                      <a:fillRect/>
                    </a:stretch>
                  </pic:blipFill>
                  <pic:spPr>
                    <a:xfrm>
                      <a:off x="0" y="0"/>
                      <a:ext cx="5105400" cy="7048500"/>
                    </a:xfrm>
                    <a:prstGeom prst="rect">
                      <a:avLst/>
                    </a:prstGeom>
                  </pic:spPr>
                </pic:pic>
              </a:graphicData>
            </a:graphic>
          </wp:inline>
        </w:drawing>
      </w:r>
    </w:p>
    <w:p w14:paraId="578F6005">
      <w:pPr>
        <w:pStyle w:val="3"/>
        <w:sectPr>
          <w:pgSz w:w="11906" w:h="16838"/>
          <w:pgMar w:top="1418" w:right="1230" w:bottom="1418" w:left="1134" w:header="851" w:footer="992" w:gutter="0"/>
          <w:pgNumType w:fmt="decimal"/>
          <w:cols w:space="425" w:num="1"/>
          <w:docGrid w:type="linesAndChars" w:linePitch="312" w:charSpace="0"/>
        </w:sectPr>
      </w:pPr>
      <w:r>
        <w:t>附图</w:t>
      </w:r>
      <w:r>
        <w:rPr>
          <w:rFonts w:hint="eastAsia"/>
        </w:rPr>
        <w:t>6</w:t>
      </w:r>
      <w:r>
        <w:t xml:space="preserve">  </w:t>
      </w:r>
      <w:r>
        <w:rPr>
          <w:rFonts w:hint="eastAsia"/>
        </w:rPr>
        <w:t>车间平面布置图</w:t>
      </w:r>
    </w:p>
    <w:p w14:paraId="32639561">
      <w:pPr>
        <w:pStyle w:val="3"/>
        <w:spacing w:line="360" w:lineRule="auto"/>
        <w:jc w:val="left"/>
      </w:pPr>
      <w:r>
        <w:rPr>
          <w:rFonts w:hint="eastAsia"/>
        </w:rPr>
        <w:t>附件1</w:t>
      </w:r>
      <w:r>
        <w:t xml:space="preserve"> </w:t>
      </w:r>
      <w:r>
        <w:rPr>
          <w:rFonts w:hint="eastAsia"/>
        </w:rPr>
        <w:t>项目基本情况</w:t>
      </w:r>
      <w:bookmarkEnd w:id="19"/>
    </w:p>
    <w:p w14:paraId="316683DB">
      <w:pPr>
        <w:pStyle w:val="122"/>
        <w:ind w:firstLine="480"/>
        <w:rPr>
          <w:bCs/>
        </w:rPr>
      </w:pPr>
      <w:bookmarkStart w:id="20" w:name="_Hlk155886264"/>
      <w:r>
        <w:rPr>
          <w:rFonts w:hint="eastAsia"/>
          <w:bCs/>
        </w:rPr>
        <w:t>杭州禾丰奥蜜尔家私有限公司成立于1994年4月25日，注册地位于浙江省杭州市临平区东湖街道天荷路3号3幢。公司主要产品类型为各类型家具。</w:t>
      </w:r>
    </w:p>
    <w:p w14:paraId="44DD2553">
      <w:pPr>
        <w:pStyle w:val="122"/>
        <w:ind w:firstLine="480"/>
        <w:rPr>
          <w:bCs/>
        </w:rPr>
      </w:pPr>
      <w:r>
        <w:rPr>
          <w:rFonts w:hint="eastAsia"/>
          <w:bCs/>
        </w:rPr>
        <w:t>现由于企业自身发展的需要，本项目将现有位于新颜路26号华融园区的现有项目搬迁至自有园区闲置厂房，为迁建项目，在优化生产布局、提升生产效率的同时，积极响应产业发展需求。项目建成后，将形成多元化的产品格局，相较于现有产能有所调整，其中新增产品宠物家具年产量达2万套/年，餐椅相较于现有产能有所调整，年产量从8万张/年降低至2万张/年，家具年产量为2万件/年，餐桌和套房家具不再生产。</w:t>
      </w:r>
    </w:p>
    <w:p w14:paraId="72EDC6E7">
      <w:pPr>
        <w:pStyle w:val="122"/>
        <w:ind w:firstLine="480"/>
        <w:rPr>
          <w:bCs/>
        </w:rPr>
      </w:pPr>
      <w:r>
        <w:rPr>
          <w:rFonts w:hint="eastAsia"/>
          <w:bCs/>
        </w:rPr>
        <w:t>本项目严格按照安全生产，消防及环保的相关规章制度执行。项目已在临平区经济信息化和科学技术局备案，项目代码2503-330113-07-02-130538。</w:t>
      </w:r>
    </w:p>
    <w:p w14:paraId="26F47F62">
      <w:pPr>
        <w:pStyle w:val="122"/>
        <w:ind w:firstLine="0" w:firstLineChars="0"/>
        <w:outlineLvl w:val="1"/>
        <w:rPr>
          <w:b/>
        </w:rPr>
      </w:pPr>
      <w:bookmarkStart w:id="21" w:name="_Toc24282"/>
      <w:r>
        <w:rPr>
          <w:rFonts w:hint="eastAsia"/>
          <w:b/>
        </w:rPr>
        <w:t>1、本项目情况</w:t>
      </w:r>
      <w:bookmarkEnd w:id="21"/>
    </w:p>
    <w:p w14:paraId="0CC7A8FF">
      <w:pPr>
        <w:pStyle w:val="122"/>
        <w:ind w:firstLine="0" w:firstLineChars="0"/>
        <w:outlineLvl w:val="2"/>
        <w:rPr>
          <w:b/>
        </w:rPr>
      </w:pPr>
      <w:r>
        <w:rPr>
          <w:rFonts w:hint="eastAsia"/>
          <w:b/>
        </w:rPr>
        <w:t>1.</w:t>
      </w:r>
      <w:r>
        <w:rPr>
          <w:b/>
        </w:rPr>
        <w:t>1</w:t>
      </w:r>
      <w:r>
        <w:rPr>
          <w:rFonts w:hint="eastAsia"/>
          <w:b/>
        </w:rPr>
        <w:t>项目基本组成</w:t>
      </w:r>
    </w:p>
    <w:p w14:paraId="62AB02AB">
      <w:pPr>
        <w:pStyle w:val="122"/>
        <w:ind w:firstLine="480"/>
      </w:pPr>
      <w:r>
        <w:rPr>
          <w:rFonts w:hint="eastAsia"/>
        </w:rPr>
        <w:t>本项目主要由主体工程、公用工程、环保工程、辅助工程等组成。具体</w:t>
      </w:r>
      <w:r>
        <w:t>组成汇总如</w:t>
      </w:r>
      <w:r>
        <w:rPr>
          <w:rFonts w:hint="eastAsia"/>
        </w:rPr>
        <w:t>表</w:t>
      </w:r>
      <w:r>
        <w:t>1所示。</w:t>
      </w:r>
    </w:p>
    <w:p w14:paraId="559257A0">
      <w:pPr>
        <w:pStyle w:val="116"/>
        <w:numPr>
          <w:ilvl w:val="0"/>
          <w:numId w:val="22"/>
        </w:numPr>
        <w:spacing w:before="0" w:beforeLines="0"/>
        <w:ind w:left="0"/>
      </w:pPr>
      <w:r>
        <w:t>项目基本组成</w:t>
      </w:r>
    </w:p>
    <w:bookmarkEnd w:id="20"/>
    <w:tbl>
      <w:tblPr>
        <w:tblStyle w:val="88"/>
        <w:tblW w:w="503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7"/>
        <w:gridCol w:w="835"/>
        <w:gridCol w:w="1497"/>
        <w:gridCol w:w="3425"/>
        <w:gridCol w:w="3133"/>
      </w:tblGrid>
      <w:tr w14:paraId="59371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Align w:val="center"/>
          </w:tcPr>
          <w:p w14:paraId="6A38787A">
            <w:pPr>
              <w:widowControl/>
              <w:jc w:val="center"/>
              <w:rPr>
                <w:kern w:val="0"/>
              </w:rPr>
            </w:pPr>
            <w:r>
              <w:rPr>
                <w:kern w:val="0"/>
              </w:rPr>
              <w:t>序号</w:t>
            </w:r>
          </w:p>
        </w:tc>
        <w:tc>
          <w:tcPr>
            <w:tcW w:w="1212" w:type="pct"/>
            <w:gridSpan w:val="2"/>
            <w:vAlign w:val="center"/>
          </w:tcPr>
          <w:p w14:paraId="1372DAFB">
            <w:pPr>
              <w:widowControl/>
              <w:jc w:val="center"/>
              <w:rPr>
                <w:kern w:val="0"/>
              </w:rPr>
            </w:pPr>
            <w:r>
              <w:rPr>
                <w:rFonts w:hint="eastAsia"/>
                <w:kern w:val="0"/>
              </w:rPr>
              <w:t>工程</w:t>
            </w:r>
            <w:r>
              <w:rPr>
                <w:kern w:val="0"/>
              </w:rPr>
              <w:t>类别</w:t>
            </w:r>
          </w:p>
        </w:tc>
        <w:tc>
          <w:tcPr>
            <w:tcW w:w="1780" w:type="pct"/>
            <w:tcBorders>
              <w:right w:val="single" w:color="auto" w:sz="4" w:space="0"/>
            </w:tcBorders>
            <w:vAlign w:val="center"/>
          </w:tcPr>
          <w:p w14:paraId="38478FEC">
            <w:pPr>
              <w:widowControl/>
              <w:jc w:val="center"/>
              <w:rPr>
                <w:kern w:val="0"/>
              </w:rPr>
            </w:pPr>
            <w:r>
              <w:rPr>
                <w:kern w:val="0"/>
              </w:rPr>
              <w:t>主要内容</w:t>
            </w:r>
          </w:p>
        </w:tc>
        <w:tc>
          <w:tcPr>
            <w:tcW w:w="1628" w:type="pct"/>
            <w:vAlign w:val="center"/>
          </w:tcPr>
          <w:p w14:paraId="2C69282D">
            <w:pPr>
              <w:widowControl/>
              <w:jc w:val="center"/>
              <w:rPr>
                <w:kern w:val="0"/>
              </w:rPr>
            </w:pPr>
            <w:r>
              <w:rPr>
                <w:kern w:val="0"/>
              </w:rPr>
              <w:t>备注</w:t>
            </w:r>
          </w:p>
        </w:tc>
      </w:tr>
      <w:tr w14:paraId="5384D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Align w:val="center"/>
          </w:tcPr>
          <w:p w14:paraId="32B544CB">
            <w:pPr>
              <w:widowControl/>
              <w:jc w:val="center"/>
              <w:rPr>
                <w:kern w:val="0"/>
              </w:rPr>
            </w:pPr>
            <w:r>
              <w:rPr>
                <w:rFonts w:hint="eastAsia"/>
                <w:kern w:val="0"/>
              </w:rPr>
              <w:t>1</w:t>
            </w:r>
          </w:p>
        </w:tc>
        <w:tc>
          <w:tcPr>
            <w:tcW w:w="434" w:type="pct"/>
            <w:vAlign w:val="center"/>
          </w:tcPr>
          <w:p w14:paraId="6F1CE1FB">
            <w:pPr>
              <w:jc w:val="center"/>
              <w:rPr>
                <w:kern w:val="0"/>
              </w:rPr>
            </w:pPr>
            <w:r>
              <w:rPr>
                <w:kern w:val="0"/>
              </w:rPr>
              <w:t>主体工程</w:t>
            </w:r>
          </w:p>
        </w:tc>
        <w:tc>
          <w:tcPr>
            <w:tcW w:w="778" w:type="pct"/>
            <w:vAlign w:val="center"/>
          </w:tcPr>
          <w:p w14:paraId="421649E7">
            <w:pPr>
              <w:jc w:val="center"/>
              <w:rPr>
                <w:kern w:val="0"/>
              </w:rPr>
            </w:pPr>
            <w:r>
              <w:rPr>
                <w:rFonts w:hint="eastAsia"/>
                <w:kern w:val="0"/>
              </w:rPr>
              <w:t>生产车间</w:t>
            </w:r>
          </w:p>
        </w:tc>
        <w:tc>
          <w:tcPr>
            <w:tcW w:w="1780" w:type="pct"/>
            <w:vAlign w:val="center"/>
          </w:tcPr>
          <w:p w14:paraId="6C1DF629">
            <w:pPr>
              <w:widowControl/>
              <w:jc w:val="center"/>
              <w:rPr>
                <w:kern w:val="0"/>
              </w:rPr>
            </w:pPr>
            <w:r>
              <w:rPr>
                <w:rFonts w:hint="eastAsia"/>
                <w:kern w:val="0"/>
              </w:rPr>
              <w:t>建设本项目家具、宠物家具、餐椅生产线</w:t>
            </w:r>
          </w:p>
        </w:tc>
        <w:tc>
          <w:tcPr>
            <w:tcW w:w="1628" w:type="pct"/>
            <w:vAlign w:val="center"/>
          </w:tcPr>
          <w:p w14:paraId="54797B87">
            <w:pPr>
              <w:jc w:val="center"/>
              <w:rPr>
                <w:rFonts w:hint="default" w:eastAsia="宋体"/>
                <w:kern w:val="0"/>
                <w:lang w:val="en-US" w:eastAsia="zh-CN"/>
              </w:rPr>
            </w:pPr>
            <w:r>
              <w:rPr>
                <w:rFonts w:hint="eastAsia"/>
                <w:kern w:val="0"/>
              </w:rPr>
              <w:t>搬迁至自有园区闲置厂房</w:t>
            </w:r>
            <w:r>
              <w:rPr>
                <w:rFonts w:hint="eastAsia"/>
                <w:kern w:val="0"/>
                <w:lang w:eastAsia="zh-CN"/>
              </w:rPr>
              <w:t>，</w:t>
            </w:r>
            <w:r>
              <w:rPr>
                <w:rFonts w:hint="eastAsia"/>
                <w:kern w:val="0"/>
                <w:lang w:val="en-US" w:eastAsia="zh-CN"/>
              </w:rPr>
              <w:t>车间总面积约1100m</w:t>
            </w:r>
            <w:r>
              <w:rPr>
                <w:rFonts w:hint="eastAsia"/>
                <w:kern w:val="0"/>
                <w:vertAlign w:val="superscript"/>
                <w:lang w:val="en-US" w:eastAsia="zh-CN"/>
              </w:rPr>
              <w:t>2</w:t>
            </w:r>
            <w:r>
              <w:rPr>
                <w:rFonts w:hint="eastAsia"/>
                <w:kern w:val="0"/>
                <w:lang w:val="en-US" w:eastAsia="zh-CN"/>
              </w:rPr>
              <w:t>，层高约5m</w:t>
            </w:r>
          </w:p>
        </w:tc>
      </w:tr>
      <w:tr w14:paraId="2DD6E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restart"/>
            <w:vAlign w:val="center"/>
          </w:tcPr>
          <w:p w14:paraId="29EAE94A">
            <w:pPr>
              <w:widowControl/>
              <w:jc w:val="center"/>
              <w:rPr>
                <w:kern w:val="0"/>
              </w:rPr>
            </w:pPr>
            <w:r>
              <w:rPr>
                <w:rFonts w:hint="eastAsia"/>
                <w:kern w:val="0"/>
              </w:rPr>
              <w:t>2</w:t>
            </w:r>
          </w:p>
        </w:tc>
        <w:tc>
          <w:tcPr>
            <w:tcW w:w="434" w:type="pct"/>
            <w:vMerge w:val="restart"/>
            <w:vAlign w:val="center"/>
          </w:tcPr>
          <w:p w14:paraId="34048264">
            <w:pPr>
              <w:widowControl/>
              <w:jc w:val="center"/>
              <w:rPr>
                <w:kern w:val="0"/>
              </w:rPr>
            </w:pPr>
            <w:r>
              <w:rPr>
                <w:kern w:val="0"/>
              </w:rPr>
              <w:t>公</w:t>
            </w:r>
            <w:r>
              <w:rPr>
                <w:rFonts w:hint="eastAsia"/>
                <w:kern w:val="0"/>
              </w:rPr>
              <w:t>辅</w:t>
            </w:r>
            <w:r>
              <w:rPr>
                <w:kern w:val="0"/>
              </w:rPr>
              <w:t>工程</w:t>
            </w:r>
          </w:p>
        </w:tc>
        <w:tc>
          <w:tcPr>
            <w:tcW w:w="778" w:type="pct"/>
            <w:shd w:val="clear" w:color="auto" w:fill="auto"/>
            <w:vAlign w:val="center"/>
          </w:tcPr>
          <w:p w14:paraId="2C0B0D3F">
            <w:pPr>
              <w:widowControl/>
              <w:jc w:val="center"/>
              <w:rPr>
                <w:kern w:val="0"/>
              </w:rPr>
            </w:pPr>
            <w:r>
              <w:rPr>
                <w:rFonts w:hint="eastAsia"/>
                <w:kern w:val="0"/>
              </w:rPr>
              <w:t>给水系统</w:t>
            </w:r>
          </w:p>
        </w:tc>
        <w:tc>
          <w:tcPr>
            <w:tcW w:w="1780" w:type="pct"/>
            <w:shd w:val="clear" w:color="auto" w:fill="auto"/>
            <w:vAlign w:val="center"/>
          </w:tcPr>
          <w:p w14:paraId="3F07F856">
            <w:pPr>
              <w:widowControl/>
              <w:jc w:val="center"/>
              <w:rPr>
                <w:kern w:val="0"/>
              </w:rPr>
            </w:pPr>
            <w:r>
              <w:rPr>
                <w:rFonts w:hint="eastAsia"/>
                <w:kern w:val="0"/>
              </w:rPr>
              <w:t>市政自来水管网供给</w:t>
            </w:r>
          </w:p>
        </w:tc>
        <w:tc>
          <w:tcPr>
            <w:tcW w:w="1628" w:type="pct"/>
            <w:shd w:val="clear" w:color="auto" w:fill="auto"/>
            <w:vAlign w:val="center"/>
          </w:tcPr>
          <w:p w14:paraId="2FCEDBE7">
            <w:pPr>
              <w:widowControl/>
              <w:jc w:val="center"/>
              <w:rPr>
                <w:kern w:val="0"/>
              </w:rPr>
            </w:pPr>
            <w:r>
              <w:rPr>
                <w:rFonts w:hint="eastAsia"/>
                <w:kern w:val="0"/>
              </w:rPr>
              <w:t>自有园区内现有给水管网</w:t>
            </w:r>
          </w:p>
        </w:tc>
      </w:tr>
      <w:tr w14:paraId="2FBB9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293CFF6A">
            <w:pPr>
              <w:ind w:firstLine="480"/>
              <w:jc w:val="center"/>
            </w:pPr>
          </w:p>
        </w:tc>
        <w:tc>
          <w:tcPr>
            <w:tcW w:w="434" w:type="pct"/>
            <w:vMerge w:val="continue"/>
            <w:vAlign w:val="center"/>
          </w:tcPr>
          <w:p w14:paraId="241F4F77">
            <w:pPr>
              <w:ind w:firstLine="480"/>
              <w:jc w:val="center"/>
            </w:pPr>
          </w:p>
        </w:tc>
        <w:tc>
          <w:tcPr>
            <w:tcW w:w="778" w:type="pct"/>
            <w:shd w:val="clear" w:color="auto" w:fill="auto"/>
            <w:vAlign w:val="center"/>
          </w:tcPr>
          <w:p w14:paraId="6038466B">
            <w:pPr>
              <w:widowControl/>
              <w:jc w:val="center"/>
              <w:rPr>
                <w:kern w:val="0"/>
              </w:rPr>
            </w:pPr>
            <w:r>
              <w:rPr>
                <w:rFonts w:hint="eastAsia"/>
                <w:kern w:val="0"/>
              </w:rPr>
              <w:t>排水系统</w:t>
            </w:r>
          </w:p>
        </w:tc>
        <w:tc>
          <w:tcPr>
            <w:tcW w:w="1780" w:type="pct"/>
            <w:shd w:val="clear" w:color="auto" w:fill="auto"/>
            <w:vAlign w:val="center"/>
          </w:tcPr>
          <w:p w14:paraId="69F26DEE">
            <w:pPr>
              <w:widowControl/>
              <w:jc w:val="center"/>
              <w:rPr>
                <w:kern w:val="0"/>
              </w:rPr>
            </w:pPr>
            <w:r>
              <w:rPr>
                <w:rFonts w:hint="eastAsia"/>
                <w:kern w:val="0"/>
              </w:rPr>
              <w:t>现有排水管网</w:t>
            </w:r>
          </w:p>
        </w:tc>
        <w:tc>
          <w:tcPr>
            <w:tcW w:w="1628" w:type="pct"/>
            <w:shd w:val="clear" w:color="auto" w:fill="auto"/>
            <w:vAlign w:val="center"/>
          </w:tcPr>
          <w:p w14:paraId="1470355B">
            <w:pPr>
              <w:widowControl/>
              <w:jc w:val="center"/>
              <w:rPr>
                <w:rFonts w:hint="default" w:eastAsia="宋体"/>
                <w:kern w:val="0"/>
                <w:lang w:val="en-US" w:eastAsia="zh-CN"/>
              </w:rPr>
            </w:pPr>
            <w:r>
              <w:rPr>
                <w:rFonts w:hint="eastAsia"/>
                <w:kern w:val="0"/>
              </w:rPr>
              <w:t>自有园区内现有排水管网、喷漆间水帘废水经预处理后纳管排放</w:t>
            </w:r>
            <w:r>
              <w:rPr>
                <w:rFonts w:hint="eastAsia"/>
                <w:kern w:val="0"/>
                <w:lang w:eastAsia="zh-CN"/>
              </w:rPr>
              <w:t>，</w:t>
            </w:r>
            <w:r>
              <w:rPr>
                <w:rFonts w:hint="eastAsia"/>
                <w:kern w:val="0"/>
                <w:lang w:val="en-US" w:eastAsia="zh-CN"/>
              </w:rPr>
              <w:t>废水预处理采用“混凝沉淀”工艺，处理规模为1m</w:t>
            </w:r>
            <w:r>
              <w:rPr>
                <w:rFonts w:hint="eastAsia"/>
                <w:kern w:val="0"/>
                <w:vertAlign w:val="superscript"/>
                <w:lang w:val="en-US" w:eastAsia="zh-CN"/>
              </w:rPr>
              <w:t>3</w:t>
            </w:r>
            <w:r>
              <w:rPr>
                <w:rFonts w:hint="eastAsia"/>
                <w:kern w:val="0"/>
                <w:lang w:val="en-US" w:eastAsia="zh-CN"/>
              </w:rPr>
              <w:t>/d。</w:t>
            </w:r>
          </w:p>
        </w:tc>
      </w:tr>
      <w:tr w14:paraId="3A552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4B3B2E3C">
            <w:pPr>
              <w:ind w:firstLine="480"/>
              <w:jc w:val="center"/>
            </w:pPr>
          </w:p>
        </w:tc>
        <w:tc>
          <w:tcPr>
            <w:tcW w:w="434" w:type="pct"/>
            <w:vMerge w:val="continue"/>
            <w:vAlign w:val="center"/>
          </w:tcPr>
          <w:p w14:paraId="38698731">
            <w:pPr>
              <w:ind w:firstLine="480"/>
              <w:jc w:val="center"/>
            </w:pPr>
          </w:p>
        </w:tc>
        <w:tc>
          <w:tcPr>
            <w:tcW w:w="778" w:type="pct"/>
            <w:shd w:val="clear" w:color="auto" w:fill="auto"/>
            <w:vAlign w:val="center"/>
          </w:tcPr>
          <w:p w14:paraId="43744302">
            <w:pPr>
              <w:widowControl/>
              <w:jc w:val="center"/>
              <w:rPr>
                <w:kern w:val="0"/>
              </w:rPr>
            </w:pPr>
            <w:r>
              <w:rPr>
                <w:rFonts w:hint="eastAsia"/>
                <w:kern w:val="0"/>
              </w:rPr>
              <w:t>供电</w:t>
            </w:r>
          </w:p>
        </w:tc>
        <w:tc>
          <w:tcPr>
            <w:tcW w:w="1780" w:type="pct"/>
            <w:shd w:val="clear" w:color="auto" w:fill="auto"/>
            <w:vAlign w:val="center"/>
          </w:tcPr>
          <w:p w14:paraId="5E3B8641">
            <w:pPr>
              <w:widowControl/>
              <w:jc w:val="center"/>
              <w:rPr>
                <w:kern w:val="0"/>
              </w:rPr>
            </w:pPr>
            <w:r>
              <w:rPr>
                <w:rFonts w:hint="eastAsia"/>
                <w:kern w:val="0"/>
              </w:rPr>
              <w:t>供电管网</w:t>
            </w:r>
          </w:p>
        </w:tc>
        <w:tc>
          <w:tcPr>
            <w:tcW w:w="1628" w:type="pct"/>
            <w:shd w:val="clear" w:color="auto" w:fill="auto"/>
            <w:vAlign w:val="center"/>
          </w:tcPr>
          <w:p w14:paraId="2C9A6659">
            <w:pPr>
              <w:widowControl/>
              <w:jc w:val="center"/>
              <w:rPr>
                <w:kern w:val="0"/>
              </w:rPr>
            </w:pPr>
            <w:r>
              <w:rPr>
                <w:rFonts w:hint="eastAsia"/>
                <w:kern w:val="0"/>
              </w:rPr>
              <w:t>自有园区内现有供电管网</w:t>
            </w:r>
          </w:p>
        </w:tc>
      </w:tr>
      <w:tr w14:paraId="27348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restart"/>
            <w:vAlign w:val="center"/>
          </w:tcPr>
          <w:p w14:paraId="70874EF3">
            <w:pPr>
              <w:widowControl/>
              <w:jc w:val="center"/>
              <w:rPr>
                <w:kern w:val="0"/>
              </w:rPr>
            </w:pPr>
            <w:r>
              <w:rPr>
                <w:rFonts w:hint="eastAsia"/>
                <w:kern w:val="0"/>
              </w:rPr>
              <w:t>3</w:t>
            </w:r>
          </w:p>
        </w:tc>
        <w:tc>
          <w:tcPr>
            <w:tcW w:w="434" w:type="pct"/>
            <w:vMerge w:val="restart"/>
            <w:vAlign w:val="center"/>
          </w:tcPr>
          <w:p w14:paraId="11ECBFE2">
            <w:pPr>
              <w:widowControl/>
              <w:jc w:val="center"/>
              <w:rPr>
                <w:kern w:val="0"/>
              </w:rPr>
            </w:pPr>
            <w:r>
              <w:rPr>
                <w:rFonts w:hint="eastAsia"/>
                <w:kern w:val="0"/>
              </w:rPr>
              <w:t>环保工程</w:t>
            </w:r>
          </w:p>
        </w:tc>
        <w:tc>
          <w:tcPr>
            <w:tcW w:w="778" w:type="pct"/>
            <w:vAlign w:val="center"/>
          </w:tcPr>
          <w:p w14:paraId="428A0177">
            <w:pPr>
              <w:widowControl/>
              <w:jc w:val="center"/>
              <w:rPr>
                <w:kern w:val="0"/>
              </w:rPr>
            </w:pPr>
            <w:r>
              <w:rPr>
                <w:rFonts w:hint="eastAsia"/>
                <w:kern w:val="0"/>
              </w:rPr>
              <w:t>木制粉尘</w:t>
            </w:r>
          </w:p>
        </w:tc>
        <w:tc>
          <w:tcPr>
            <w:tcW w:w="1780" w:type="pct"/>
            <w:vAlign w:val="center"/>
          </w:tcPr>
          <w:p w14:paraId="43670D32">
            <w:pPr>
              <w:widowControl/>
              <w:jc w:val="center"/>
              <w:rPr>
                <w:kern w:val="0"/>
              </w:rPr>
            </w:pPr>
            <w:r>
              <w:rPr>
                <w:rFonts w:hint="eastAsia"/>
                <w:kern w:val="0"/>
              </w:rPr>
              <w:t>各木制粉尘产生点上方设置集气罩，含尘废气收集后采用布袋除尘器进行处理</w:t>
            </w:r>
          </w:p>
        </w:tc>
        <w:tc>
          <w:tcPr>
            <w:tcW w:w="1628" w:type="pct"/>
            <w:vAlign w:val="center"/>
          </w:tcPr>
          <w:p w14:paraId="6371FE45">
            <w:pPr>
              <w:widowControl/>
              <w:jc w:val="center"/>
              <w:rPr>
                <w:kern w:val="0"/>
              </w:rPr>
            </w:pPr>
            <w:r>
              <w:rPr>
                <w:rFonts w:hint="eastAsia"/>
                <w:kern w:val="0"/>
              </w:rPr>
              <w:t>原设备配套设施</w:t>
            </w:r>
          </w:p>
        </w:tc>
      </w:tr>
      <w:tr w14:paraId="11BC0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24ED3AFF">
            <w:pPr>
              <w:ind w:firstLine="480"/>
              <w:jc w:val="center"/>
            </w:pPr>
          </w:p>
        </w:tc>
        <w:tc>
          <w:tcPr>
            <w:tcW w:w="434" w:type="pct"/>
            <w:vMerge w:val="continue"/>
            <w:vAlign w:val="center"/>
          </w:tcPr>
          <w:p w14:paraId="3BFD05EE">
            <w:pPr>
              <w:ind w:firstLine="480"/>
              <w:jc w:val="center"/>
            </w:pPr>
          </w:p>
        </w:tc>
        <w:tc>
          <w:tcPr>
            <w:tcW w:w="778" w:type="pct"/>
            <w:vAlign w:val="center"/>
          </w:tcPr>
          <w:p w14:paraId="74D94543">
            <w:pPr>
              <w:widowControl/>
              <w:jc w:val="center"/>
              <w:rPr>
                <w:kern w:val="0"/>
              </w:rPr>
            </w:pPr>
            <w:r>
              <w:rPr>
                <w:rFonts w:hint="eastAsia"/>
                <w:kern w:val="0"/>
              </w:rPr>
              <w:t>喷漆废气</w:t>
            </w:r>
          </w:p>
        </w:tc>
        <w:tc>
          <w:tcPr>
            <w:tcW w:w="1780" w:type="pct"/>
            <w:vAlign w:val="center"/>
          </w:tcPr>
          <w:p w14:paraId="4E431852">
            <w:pPr>
              <w:widowControl/>
              <w:jc w:val="center"/>
              <w:rPr>
                <w:kern w:val="0"/>
              </w:rPr>
            </w:pPr>
            <w:r>
              <w:rPr>
                <w:rFonts w:hint="eastAsia"/>
                <w:kern w:val="0"/>
              </w:rPr>
              <w:t>“面漆喷房”和“底漆喷房”各设置1座“水帘柜”喷漆间废气经水帘柜去除漆雾后与烘干车间废气共同接入1套“二级活性炭”废气处理设施处理后由1根15m高排气筒排放</w:t>
            </w:r>
          </w:p>
        </w:tc>
        <w:tc>
          <w:tcPr>
            <w:tcW w:w="1628" w:type="pct"/>
            <w:vAlign w:val="center"/>
          </w:tcPr>
          <w:p w14:paraId="7F08DABA">
            <w:pPr>
              <w:widowControl/>
              <w:jc w:val="center"/>
              <w:rPr>
                <w:kern w:val="0"/>
              </w:rPr>
            </w:pPr>
            <w:r>
              <w:rPr>
                <w:rFonts w:hint="eastAsia"/>
                <w:kern w:val="0"/>
              </w:rPr>
              <w:t>新建</w:t>
            </w:r>
          </w:p>
        </w:tc>
      </w:tr>
      <w:tr w14:paraId="2D99E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74C0E4BE">
            <w:pPr>
              <w:widowControl/>
              <w:jc w:val="center"/>
              <w:rPr>
                <w:kern w:val="0"/>
              </w:rPr>
            </w:pPr>
          </w:p>
        </w:tc>
        <w:tc>
          <w:tcPr>
            <w:tcW w:w="434" w:type="pct"/>
            <w:vMerge w:val="continue"/>
            <w:vAlign w:val="center"/>
          </w:tcPr>
          <w:p w14:paraId="27144B0E">
            <w:pPr>
              <w:widowControl/>
              <w:jc w:val="center"/>
              <w:rPr>
                <w:kern w:val="0"/>
              </w:rPr>
            </w:pPr>
          </w:p>
        </w:tc>
        <w:tc>
          <w:tcPr>
            <w:tcW w:w="778" w:type="pct"/>
            <w:vAlign w:val="center"/>
          </w:tcPr>
          <w:p w14:paraId="50901FA4">
            <w:pPr>
              <w:widowControl/>
              <w:jc w:val="center"/>
              <w:rPr>
                <w:kern w:val="0"/>
              </w:rPr>
            </w:pPr>
            <w:r>
              <w:rPr>
                <w:rFonts w:hint="eastAsia"/>
                <w:kern w:val="0"/>
              </w:rPr>
              <w:t>一般仓库</w:t>
            </w:r>
          </w:p>
        </w:tc>
        <w:tc>
          <w:tcPr>
            <w:tcW w:w="1780" w:type="pct"/>
            <w:vAlign w:val="center"/>
          </w:tcPr>
          <w:p w14:paraId="441AC253">
            <w:pPr>
              <w:jc w:val="center"/>
              <w:rPr>
                <w:kern w:val="0"/>
              </w:rPr>
            </w:pPr>
            <w:r>
              <w:rPr>
                <w:rFonts w:hint="eastAsia"/>
                <w:kern w:val="0"/>
              </w:rPr>
              <w:t>一般固废仓库</w:t>
            </w:r>
          </w:p>
        </w:tc>
        <w:tc>
          <w:tcPr>
            <w:tcW w:w="1628" w:type="pct"/>
            <w:vAlign w:val="center"/>
          </w:tcPr>
          <w:p w14:paraId="519DCBA2">
            <w:pPr>
              <w:widowControl/>
              <w:jc w:val="center"/>
              <w:rPr>
                <w:rFonts w:hint="default" w:eastAsia="宋体"/>
                <w:kern w:val="0"/>
                <w:lang w:val="en-US" w:eastAsia="zh-CN"/>
              </w:rPr>
            </w:pPr>
            <w:r>
              <w:rPr>
                <w:rFonts w:hint="eastAsia"/>
                <w:kern w:val="0"/>
              </w:rPr>
              <w:t>车间内规划区域</w:t>
            </w:r>
            <w:r>
              <w:rPr>
                <w:rFonts w:hint="eastAsia"/>
                <w:kern w:val="0"/>
                <w:lang w:eastAsia="zh-CN"/>
              </w:rPr>
              <w:t>，</w:t>
            </w:r>
            <w:r>
              <w:rPr>
                <w:rFonts w:hint="eastAsia"/>
                <w:kern w:val="0"/>
                <w:lang w:val="en-US" w:eastAsia="zh-CN"/>
              </w:rPr>
              <w:t>车间东南侧20m</w:t>
            </w:r>
            <w:r>
              <w:rPr>
                <w:rFonts w:hint="eastAsia"/>
                <w:kern w:val="0"/>
                <w:vertAlign w:val="superscript"/>
                <w:lang w:val="en-US" w:eastAsia="zh-CN"/>
              </w:rPr>
              <w:t>2</w:t>
            </w:r>
          </w:p>
        </w:tc>
      </w:tr>
      <w:tr w14:paraId="3EE1F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78" w:type="pct"/>
            <w:vMerge w:val="continue"/>
            <w:vAlign w:val="center"/>
          </w:tcPr>
          <w:p w14:paraId="04F62628">
            <w:pPr>
              <w:widowControl/>
              <w:jc w:val="center"/>
              <w:rPr>
                <w:kern w:val="0"/>
              </w:rPr>
            </w:pPr>
          </w:p>
        </w:tc>
        <w:tc>
          <w:tcPr>
            <w:tcW w:w="434" w:type="pct"/>
            <w:vMerge w:val="continue"/>
            <w:vAlign w:val="center"/>
          </w:tcPr>
          <w:p w14:paraId="7222743E">
            <w:pPr>
              <w:widowControl/>
              <w:jc w:val="center"/>
              <w:rPr>
                <w:kern w:val="0"/>
              </w:rPr>
            </w:pPr>
          </w:p>
        </w:tc>
        <w:tc>
          <w:tcPr>
            <w:tcW w:w="778" w:type="pct"/>
            <w:vAlign w:val="center"/>
          </w:tcPr>
          <w:p w14:paraId="2ED252B4">
            <w:pPr>
              <w:widowControl/>
              <w:jc w:val="center"/>
              <w:rPr>
                <w:kern w:val="0"/>
              </w:rPr>
            </w:pPr>
            <w:r>
              <w:rPr>
                <w:kern w:val="0"/>
              </w:rPr>
              <w:t>危</w:t>
            </w:r>
            <w:r>
              <w:rPr>
                <w:rFonts w:hint="eastAsia"/>
                <w:kern w:val="0"/>
              </w:rPr>
              <w:t>废</w:t>
            </w:r>
            <w:r>
              <w:rPr>
                <w:kern w:val="0"/>
              </w:rPr>
              <w:t>暂存</w:t>
            </w:r>
          </w:p>
        </w:tc>
        <w:tc>
          <w:tcPr>
            <w:tcW w:w="1780" w:type="pct"/>
            <w:vAlign w:val="center"/>
          </w:tcPr>
          <w:p w14:paraId="55BB97AF">
            <w:pPr>
              <w:widowControl/>
              <w:jc w:val="center"/>
              <w:rPr>
                <w:kern w:val="0"/>
              </w:rPr>
            </w:pPr>
            <w:r>
              <w:rPr>
                <w:kern w:val="0"/>
              </w:rPr>
              <w:t>危废仓库</w:t>
            </w:r>
          </w:p>
        </w:tc>
        <w:tc>
          <w:tcPr>
            <w:tcW w:w="1628" w:type="pct"/>
            <w:vAlign w:val="center"/>
          </w:tcPr>
          <w:p w14:paraId="18B6FBAE">
            <w:pPr>
              <w:jc w:val="center"/>
              <w:rPr>
                <w:kern w:val="0"/>
              </w:rPr>
            </w:pPr>
            <w:r>
              <w:rPr>
                <w:rFonts w:hint="eastAsia"/>
                <w:kern w:val="0"/>
              </w:rPr>
              <w:t>车间内规划区域</w:t>
            </w:r>
            <w:r>
              <w:rPr>
                <w:rFonts w:hint="eastAsia"/>
                <w:kern w:val="0"/>
                <w:lang w:eastAsia="zh-CN"/>
              </w:rPr>
              <w:t>，</w:t>
            </w:r>
            <w:r>
              <w:rPr>
                <w:rFonts w:hint="eastAsia"/>
                <w:kern w:val="0"/>
                <w:lang w:val="en-US" w:eastAsia="zh-CN"/>
              </w:rPr>
              <w:t>车间东北侧5m</w:t>
            </w:r>
            <w:r>
              <w:rPr>
                <w:rFonts w:hint="eastAsia"/>
                <w:kern w:val="0"/>
                <w:vertAlign w:val="superscript"/>
                <w:lang w:val="en-US" w:eastAsia="zh-CN"/>
              </w:rPr>
              <w:t>2</w:t>
            </w:r>
          </w:p>
        </w:tc>
      </w:tr>
    </w:tbl>
    <w:p w14:paraId="7D3F36BF">
      <w:pPr>
        <w:pStyle w:val="122"/>
        <w:ind w:firstLine="0" w:firstLineChars="0"/>
        <w:outlineLvl w:val="2"/>
        <w:rPr>
          <w:b/>
        </w:rPr>
      </w:pPr>
      <w:r>
        <w:rPr>
          <w:rFonts w:hint="eastAsia"/>
          <w:b/>
        </w:rPr>
        <w:t>1</w:t>
      </w:r>
      <w:r>
        <w:rPr>
          <w:b/>
        </w:rPr>
        <w:t>.2</w:t>
      </w:r>
      <w:r>
        <w:rPr>
          <w:rFonts w:hint="eastAsia"/>
          <w:b/>
        </w:rPr>
        <w:t>项目产品方案</w:t>
      </w:r>
    </w:p>
    <w:p w14:paraId="7D24278F">
      <w:pPr>
        <w:adjustRightInd w:val="0"/>
        <w:snapToGrid w:val="0"/>
        <w:spacing w:line="360" w:lineRule="auto"/>
        <w:ind w:firstLine="480" w:firstLineChars="200"/>
        <w:rPr>
          <w:sz w:val="24"/>
        </w:rPr>
      </w:pPr>
      <w:r>
        <w:rPr>
          <w:rFonts w:hint="eastAsia"/>
          <w:sz w:val="24"/>
        </w:rPr>
        <w:t>现由于企业自身发展的需要，本项目将现有位于新颜路26号华融园区的现有项目搬迁至自有园区闲置厂房，为迁建项目，在优化生产布局、提升生产效率的同时，积极响应产业发展需求。项目建成后，将形成多元化的产品格局，相较于现有产能有所调整，其中新增产品宠物家具年产量达2万套/年，餐椅相较于现有产能有所调整，年产量从8万张/年降低至2万张/年，家具年产量为2万件/年，餐桌和套房家具不再生产，</w:t>
      </w:r>
      <w:r>
        <w:rPr>
          <w:sz w:val="24"/>
        </w:rPr>
        <w:t>本项目实施后，企业全厂产品</w:t>
      </w:r>
      <w:r>
        <w:rPr>
          <w:rFonts w:hint="eastAsia"/>
          <w:sz w:val="24"/>
        </w:rPr>
        <w:t>生产</w:t>
      </w:r>
      <w:r>
        <w:rPr>
          <w:sz w:val="24"/>
        </w:rPr>
        <w:t>模详见</w:t>
      </w:r>
      <w:r>
        <w:rPr>
          <w:rFonts w:hint="eastAsia"/>
          <w:sz w:val="24"/>
        </w:rPr>
        <w:t>下表</w:t>
      </w:r>
      <w:r>
        <w:rPr>
          <w:sz w:val="24"/>
        </w:rPr>
        <w:t>。</w:t>
      </w:r>
    </w:p>
    <w:p w14:paraId="6F0E819F">
      <w:pPr>
        <w:pStyle w:val="116"/>
        <w:numPr>
          <w:ilvl w:val="0"/>
          <w:numId w:val="22"/>
        </w:numPr>
        <w:spacing w:before="0" w:beforeLines="0"/>
        <w:ind w:left="0"/>
      </w:pPr>
      <w:r>
        <w:rPr>
          <w:rFonts w:hint="eastAsia"/>
        </w:rPr>
        <w:t>产品方</w:t>
      </w:r>
      <w:r>
        <w:t>案</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620"/>
        <w:gridCol w:w="567"/>
        <w:gridCol w:w="4604"/>
        <w:gridCol w:w="849"/>
        <w:gridCol w:w="994"/>
        <w:gridCol w:w="994"/>
        <w:gridCol w:w="660"/>
      </w:tblGrid>
      <w:tr w14:paraId="2259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1A8FA787">
            <w:pPr>
              <w:widowControl/>
              <w:jc w:val="center"/>
              <w:rPr>
                <w:kern w:val="0"/>
                <w:sz w:val="18"/>
                <w:szCs w:val="18"/>
              </w:rPr>
            </w:pPr>
            <w:r>
              <w:rPr>
                <w:kern w:val="0"/>
                <w:sz w:val="18"/>
                <w:szCs w:val="18"/>
              </w:rPr>
              <w:t>序号</w:t>
            </w:r>
          </w:p>
        </w:tc>
        <w:tc>
          <w:tcPr>
            <w:tcW w:w="0" w:type="auto"/>
            <w:vMerge w:val="restart"/>
            <w:vAlign w:val="center"/>
          </w:tcPr>
          <w:p w14:paraId="141A95C6">
            <w:pPr>
              <w:widowControl/>
              <w:jc w:val="center"/>
              <w:rPr>
                <w:kern w:val="0"/>
                <w:sz w:val="18"/>
                <w:szCs w:val="18"/>
              </w:rPr>
            </w:pPr>
            <w:r>
              <w:rPr>
                <w:rFonts w:hint="eastAsia"/>
                <w:kern w:val="0"/>
                <w:sz w:val="18"/>
                <w:szCs w:val="18"/>
              </w:rPr>
              <w:t>产品名称</w:t>
            </w:r>
          </w:p>
        </w:tc>
        <w:tc>
          <w:tcPr>
            <w:tcW w:w="0" w:type="auto"/>
            <w:vMerge w:val="restart"/>
            <w:vAlign w:val="center"/>
          </w:tcPr>
          <w:p w14:paraId="5AF09B74">
            <w:pPr>
              <w:widowControl/>
              <w:jc w:val="center"/>
              <w:rPr>
                <w:kern w:val="0"/>
                <w:sz w:val="18"/>
                <w:szCs w:val="18"/>
              </w:rPr>
            </w:pPr>
            <w:r>
              <w:rPr>
                <w:rFonts w:hint="eastAsia"/>
                <w:kern w:val="0"/>
                <w:sz w:val="18"/>
                <w:szCs w:val="18"/>
              </w:rPr>
              <w:t>单位</w:t>
            </w:r>
          </w:p>
        </w:tc>
        <w:tc>
          <w:tcPr>
            <w:tcW w:w="0" w:type="auto"/>
            <w:vMerge w:val="restart"/>
            <w:vAlign w:val="center"/>
          </w:tcPr>
          <w:p w14:paraId="7986B91D">
            <w:pPr>
              <w:widowControl/>
              <w:jc w:val="center"/>
              <w:rPr>
                <w:rFonts w:hint="eastAsia" w:eastAsia="宋体"/>
                <w:kern w:val="0"/>
                <w:sz w:val="18"/>
                <w:szCs w:val="18"/>
                <w:lang w:val="en-US" w:eastAsia="zh-CN"/>
              </w:rPr>
            </w:pPr>
            <w:r>
              <w:rPr>
                <w:rFonts w:hint="eastAsia"/>
                <w:kern w:val="0"/>
                <w:sz w:val="18"/>
                <w:szCs w:val="18"/>
                <w:lang w:val="en-US" w:eastAsia="zh-CN"/>
              </w:rPr>
              <w:t>规格型号</w:t>
            </w:r>
          </w:p>
        </w:tc>
        <w:tc>
          <w:tcPr>
            <w:tcW w:w="0" w:type="auto"/>
            <w:gridSpan w:val="4"/>
            <w:vAlign w:val="center"/>
          </w:tcPr>
          <w:p w14:paraId="5B8898C4">
            <w:pPr>
              <w:widowControl/>
              <w:jc w:val="center"/>
              <w:rPr>
                <w:kern w:val="0"/>
                <w:sz w:val="18"/>
                <w:szCs w:val="18"/>
              </w:rPr>
            </w:pPr>
            <w:r>
              <w:rPr>
                <w:rFonts w:hint="eastAsia"/>
                <w:kern w:val="0"/>
                <w:sz w:val="18"/>
                <w:szCs w:val="18"/>
              </w:rPr>
              <w:t>年产量</w:t>
            </w:r>
          </w:p>
        </w:tc>
      </w:tr>
      <w:tr w14:paraId="5A40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5D8616D4">
            <w:pPr>
              <w:widowControl/>
              <w:jc w:val="center"/>
              <w:rPr>
                <w:kern w:val="0"/>
                <w:sz w:val="18"/>
                <w:szCs w:val="18"/>
              </w:rPr>
            </w:pPr>
          </w:p>
        </w:tc>
        <w:tc>
          <w:tcPr>
            <w:tcW w:w="0" w:type="auto"/>
            <w:vMerge w:val="continue"/>
            <w:vAlign w:val="center"/>
          </w:tcPr>
          <w:p w14:paraId="7C26AFCF">
            <w:pPr>
              <w:widowControl/>
              <w:jc w:val="center"/>
              <w:rPr>
                <w:kern w:val="0"/>
                <w:sz w:val="18"/>
                <w:szCs w:val="18"/>
              </w:rPr>
            </w:pPr>
          </w:p>
        </w:tc>
        <w:tc>
          <w:tcPr>
            <w:tcW w:w="0" w:type="auto"/>
            <w:vMerge w:val="continue"/>
            <w:vAlign w:val="center"/>
          </w:tcPr>
          <w:p w14:paraId="73338E82">
            <w:pPr>
              <w:widowControl/>
              <w:jc w:val="center"/>
              <w:rPr>
                <w:kern w:val="0"/>
                <w:sz w:val="18"/>
                <w:szCs w:val="18"/>
              </w:rPr>
            </w:pPr>
          </w:p>
        </w:tc>
        <w:tc>
          <w:tcPr>
            <w:tcW w:w="0" w:type="auto"/>
            <w:vMerge w:val="continue"/>
            <w:vAlign w:val="center"/>
          </w:tcPr>
          <w:p w14:paraId="59742E8C">
            <w:pPr>
              <w:widowControl/>
              <w:jc w:val="center"/>
              <w:rPr>
                <w:kern w:val="0"/>
                <w:sz w:val="18"/>
                <w:szCs w:val="18"/>
              </w:rPr>
            </w:pPr>
          </w:p>
        </w:tc>
        <w:tc>
          <w:tcPr>
            <w:tcW w:w="0" w:type="auto"/>
            <w:vAlign w:val="center"/>
          </w:tcPr>
          <w:p w14:paraId="1BEF0A3D">
            <w:pPr>
              <w:widowControl/>
              <w:jc w:val="center"/>
              <w:rPr>
                <w:kern w:val="0"/>
                <w:sz w:val="18"/>
                <w:szCs w:val="18"/>
              </w:rPr>
            </w:pPr>
            <w:r>
              <w:rPr>
                <w:rFonts w:hint="eastAsia"/>
                <w:kern w:val="0"/>
                <w:sz w:val="18"/>
                <w:szCs w:val="18"/>
              </w:rPr>
              <w:t>现有项目产能</w:t>
            </w:r>
          </w:p>
        </w:tc>
        <w:tc>
          <w:tcPr>
            <w:tcW w:w="0" w:type="auto"/>
            <w:vAlign w:val="center"/>
          </w:tcPr>
          <w:p w14:paraId="3C688720">
            <w:pPr>
              <w:widowControl/>
              <w:jc w:val="center"/>
              <w:rPr>
                <w:kern w:val="0"/>
                <w:sz w:val="18"/>
                <w:szCs w:val="18"/>
              </w:rPr>
            </w:pPr>
            <w:r>
              <w:rPr>
                <w:rFonts w:hint="eastAsia"/>
                <w:kern w:val="0"/>
                <w:sz w:val="18"/>
                <w:szCs w:val="18"/>
              </w:rPr>
              <w:t>本次拟新增项目产能</w:t>
            </w:r>
          </w:p>
        </w:tc>
        <w:tc>
          <w:tcPr>
            <w:tcW w:w="0" w:type="auto"/>
            <w:vAlign w:val="center"/>
          </w:tcPr>
          <w:p w14:paraId="11149C9C">
            <w:pPr>
              <w:widowControl/>
              <w:jc w:val="center"/>
              <w:rPr>
                <w:kern w:val="0"/>
                <w:sz w:val="18"/>
                <w:szCs w:val="18"/>
              </w:rPr>
            </w:pPr>
            <w:r>
              <w:rPr>
                <w:rFonts w:hint="eastAsia"/>
                <w:kern w:val="0"/>
                <w:sz w:val="18"/>
                <w:szCs w:val="18"/>
              </w:rPr>
              <w:t>项目建成后全厂产能</w:t>
            </w:r>
          </w:p>
        </w:tc>
        <w:tc>
          <w:tcPr>
            <w:tcW w:w="0" w:type="auto"/>
            <w:vAlign w:val="center"/>
          </w:tcPr>
          <w:p w14:paraId="5EC8D92C">
            <w:pPr>
              <w:widowControl/>
              <w:jc w:val="center"/>
              <w:rPr>
                <w:kern w:val="0"/>
                <w:sz w:val="18"/>
                <w:szCs w:val="18"/>
              </w:rPr>
            </w:pPr>
            <w:r>
              <w:rPr>
                <w:rFonts w:hint="eastAsia"/>
                <w:kern w:val="0"/>
                <w:sz w:val="18"/>
                <w:szCs w:val="18"/>
              </w:rPr>
              <w:t>增减量</w:t>
            </w:r>
          </w:p>
        </w:tc>
      </w:tr>
      <w:tr w14:paraId="5C8E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7187A030">
            <w:pPr>
              <w:widowControl/>
              <w:jc w:val="center"/>
              <w:rPr>
                <w:kern w:val="0"/>
                <w:sz w:val="18"/>
                <w:szCs w:val="18"/>
              </w:rPr>
            </w:pPr>
            <w:r>
              <w:rPr>
                <w:rFonts w:hint="eastAsia"/>
                <w:kern w:val="0"/>
                <w:sz w:val="18"/>
                <w:szCs w:val="18"/>
              </w:rPr>
              <w:t>1</w:t>
            </w:r>
          </w:p>
        </w:tc>
        <w:tc>
          <w:tcPr>
            <w:tcW w:w="0" w:type="auto"/>
            <w:vAlign w:val="center"/>
          </w:tcPr>
          <w:p w14:paraId="7B195010">
            <w:pPr>
              <w:widowControl/>
              <w:jc w:val="center"/>
              <w:rPr>
                <w:kern w:val="0"/>
                <w:sz w:val="18"/>
                <w:szCs w:val="18"/>
              </w:rPr>
            </w:pPr>
            <w:r>
              <w:rPr>
                <w:rFonts w:hint="eastAsia" w:hAnsi="宋体"/>
                <w:sz w:val="18"/>
                <w:szCs w:val="18"/>
              </w:rPr>
              <w:t>宠物家具</w:t>
            </w:r>
          </w:p>
        </w:tc>
        <w:tc>
          <w:tcPr>
            <w:tcW w:w="0" w:type="auto"/>
            <w:vAlign w:val="center"/>
          </w:tcPr>
          <w:p w14:paraId="1521751E">
            <w:pPr>
              <w:widowControl/>
              <w:jc w:val="center"/>
              <w:rPr>
                <w:kern w:val="0"/>
                <w:sz w:val="18"/>
                <w:szCs w:val="18"/>
              </w:rPr>
            </w:pPr>
            <w:r>
              <w:rPr>
                <w:rFonts w:hint="eastAsia"/>
                <w:kern w:val="0"/>
                <w:sz w:val="18"/>
                <w:szCs w:val="18"/>
              </w:rPr>
              <w:t>万套/年</w:t>
            </w:r>
          </w:p>
        </w:tc>
        <w:tc>
          <w:tcPr>
            <w:tcW w:w="0" w:type="auto"/>
            <w:vAlign w:val="center"/>
          </w:tcPr>
          <w:p w14:paraId="0624C1D8">
            <w:pPr>
              <w:widowControl/>
              <w:jc w:val="center"/>
              <w:rPr>
                <w:rFonts w:hint="eastAsia" w:eastAsia="宋体"/>
                <w:kern w:val="0"/>
                <w:sz w:val="18"/>
                <w:szCs w:val="18"/>
                <w:lang w:val="en-US" w:eastAsia="zh-CN"/>
              </w:rPr>
            </w:pPr>
            <w:r>
              <w:rPr>
                <w:rFonts w:hint="eastAsia"/>
                <w:kern w:val="0"/>
                <w:sz w:val="18"/>
                <w:szCs w:val="18"/>
                <w:lang w:val="en-US" w:eastAsia="zh-CN"/>
              </w:rPr>
              <w:t>非标定制（常见有宠物沙发、爬架等）</w:t>
            </w:r>
          </w:p>
        </w:tc>
        <w:tc>
          <w:tcPr>
            <w:tcW w:w="0" w:type="auto"/>
            <w:vAlign w:val="center"/>
          </w:tcPr>
          <w:p w14:paraId="3F96CAC1">
            <w:pPr>
              <w:widowControl/>
              <w:jc w:val="center"/>
              <w:rPr>
                <w:kern w:val="0"/>
                <w:sz w:val="18"/>
                <w:szCs w:val="18"/>
              </w:rPr>
            </w:pPr>
            <w:r>
              <w:rPr>
                <w:rFonts w:hint="eastAsia"/>
                <w:kern w:val="0"/>
                <w:sz w:val="18"/>
                <w:szCs w:val="18"/>
              </w:rPr>
              <w:t>0</w:t>
            </w:r>
          </w:p>
        </w:tc>
        <w:tc>
          <w:tcPr>
            <w:tcW w:w="0" w:type="auto"/>
            <w:vAlign w:val="center"/>
          </w:tcPr>
          <w:p w14:paraId="16ED1333">
            <w:pPr>
              <w:widowControl/>
              <w:jc w:val="center"/>
              <w:rPr>
                <w:kern w:val="0"/>
                <w:sz w:val="18"/>
                <w:szCs w:val="18"/>
              </w:rPr>
            </w:pPr>
            <w:r>
              <w:rPr>
                <w:rFonts w:hint="eastAsia"/>
                <w:kern w:val="0"/>
                <w:sz w:val="18"/>
                <w:szCs w:val="18"/>
              </w:rPr>
              <w:t>2</w:t>
            </w:r>
          </w:p>
        </w:tc>
        <w:tc>
          <w:tcPr>
            <w:tcW w:w="0" w:type="auto"/>
            <w:vAlign w:val="center"/>
          </w:tcPr>
          <w:p w14:paraId="20065123">
            <w:pPr>
              <w:widowControl/>
              <w:jc w:val="center"/>
              <w:rPr>
                <w:kern w:val="0"/>
                <w:sz w:val="18"/>
                <w:szCs w:val="18"/>
              </w:rPr>
            </w:pPr>
            <w:r>
              <w:rPr>
                <w:rFonts w:hint="eastAsia"/>
                <w:kern w:val="0"/>
                <w:sz w:val="18"/>
                <w:szCs w:val="18"/>
              </w:rPr>
              <w:t>2</w:t>
            </w:r>
          </w:p>
        </w:tc>
        <w:tc>
          <w:tcPr>
            <w:tcW w:w="0" w:type="auto"/>
            <w:vAlign w:val="center"/>
          </w:tcPr>
          <w:p w14:paraId="2D637BBD">
            <w:pPr>
              <w:widowControl/>
              <w:jc w:val="center"/>
              <w:rPr>
                <w:kern w:val="0"/>
                <w:sz w:val="18"/>
                <w:szCs w:val="18"/>
              </w:rPr>
            </w:pPr>
            <w:r>
              <w:rPr>
                <w:rFonts w:hint="eastAsia"/>
                <w:kern w:val="0"/>
                <w:sz w:val="18"/>
                <w:szCs w:val="18"/>
              </w:rPr>
              <w:t>+2</w:t>
            </w:r>
          </w:p>
        </w:tc>
      </w:tr>
      <w:tr w14:paraId="638F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6F7C0FB0">
            <w:pPr>
              <w:widowControl/>
              <w:jc w:val="center"/>
              <w:rPr>
                <w:kern w:val="0"/>
                <w:sz w:val="18"/>
                <w:szCs w:val="18"/>
              </w:rPr>
            </w:pPr>
            <w:r>
              <w:rPr>
                <w:rFonts w:hint="eastAsia"/>
                <w:kern w:val="0"/>
                <w:sz w:val="18"/>
                <w:szCs w:val="18"/>
              </w:rPr>
              <w:t>2</w:t>
            </w:r>
          </w:p>
        </w:tc>
        <w:tc>
          <w:tcPr>
            <w:tcW w:w="0" w:type="auto"/>
            <w:vAlign w:val="center"/>
          </w:tcPr>
          <w:p w14:paraId="0572BCD1">
            <w:pPr>
              <w:widowControl/>
              <w:jc w:val="center"/>
              <w:rPr>
                <w:rFonts w:hint="eastAsia" w:hAnsi="宋体"/>
                <w:sz w:val="18"/>
                <w:szCs w:val="18"/>
              </w:rPr>
            </w:pPr>
            <w:r>
              <w:rPr>
                <w:rFonts w:hint="eastAsia" w:hAnsi="宋体"/>
                <w:sz w:val="18"/>
                <w:szCs w:val="18"/>
              </w:rPr>
              <w:t>餐椅</w:t>
            </w:r>
          </w:p>
        </w:tc>
        <w:tc>
          <w:tcPr>
            <w:tcW w:w="0" w:type="auto"/>
            <w:vAlign w:val="center"/>
          </w:tcPr>
          <w:p w14:paraId="1DC2445E">
            <w:pPr>
              <w:widowControl/>
              <w:jc w:val="center"/>
              <w:rPr>
                <w:rFonts w:hint="eastAsia" w:hAnsi="宋体"/>
                <w:sz w:val="18"/>
                <w:szCs w:val="18"/>
              </w:rPr>
            </w:pPr>
            <w:r>
              <w:rPr>
                <w:rFonts w:hint="eastAsia" w:hAnsi="宋体"/>
                <w:sz w:val="18"/>
                <w:szCs w:val="18"/>
              </w:rPr>
              <w:t>万张/年</w:t>
            </w:r>
          </w:p>
        </w:tc>
        <w:tc>
          <w:tcPr>
            <w:tcW w:w="0" w:type="auto"/>
            <w:vAlign w:val="center"/>
          </w:tcPr>
          <w:p w14:paraId="1FA1F6B9">
            <w:pPr>
              <w:widowControl/>
              <w:jc w:val="center"/>
              <w:rPr>
                <w:rFonts w:hint="eastAsia" w:hAnsi="宋体" w:eastAsia="宋体"/>
                <w:sz w:val="18"/>
                <w:szCs w:val="18"/>
                <w:lang w:eastAsia="zh-CN"/>
              </w:rPr>
            </w:pPr>
            <w:r>
              <w:rPr>
                <w:rFonts w:hint="eastAsia" w:hAnsi="宋体"/>
                <w:sz w:val="18"/>
                <w:szCs w:val="18"/>
              </w:rPr>
              <w:t>餐椅座面宽度在40-50</w:t>
            </w:r>
            <w:r>
              <w:rPr>
                <w:rFonts w:hint="eastAsia" w:hAnsi="宋体"/>
                <w:sz w:val="18"/>
                <w:szCs w:val="18"/>
                <w:lang w:val="en-US" w:eastAsia="zh-CN"/>
              </w:rPr>
              <w:t>cm</w:t>
            </w:r>
            <w:r>
              <w:rPr>
                <w:rFonts w:hint="eastAsia" w:hAnsi="宋体"/>
                <w:sz w:val="18"/>
                <w:szCs w:val="18"/>
              </w:rPr>
              <w:t>，座面深度为42-45</w:t>
            </w:r>
            <w:r>
              <w:rPr>
                <w:rFonts w:hint="eastAsia" w:hAnsi="宋体"/>
                <w:sz w:val="18"/>
                <w:szCs w:val="18"/>
                <w:lang w:val="en-US" w:eastAsia="zh-CN"/>
              </w:rPr>
              <w:t>cm</w:t>
            </w:r>
            <w:r>
              <w:rPr>
                <w:rFonts w:hint="eastAsia" w:hAnsi="宋体"/>
                <w:sz w:val="18"/>
                <w:szCs w:val="18"/>
              </w:rPr>
              <w:t>，座面高度一般在45-50</w:t>
            </w:r>
            <w:r>
              <w:rPr>
                <w:rFonts w:hint="eastAsia" w:hAnsi="宋体"/>
                <w:sz w:val="18"/>
                <w:szCs w:val="18"/>
                <w:lang w:val="en-US" w:eastAsia="zh-CN"/>
              </w:rPr>
              <w:t>cm</w:t>
            </w:r>
            <w:r>
              <w:rPr>
                <w:rFonts w:hint="eastAsia" w:hAnsi="宋体"/>
                <w:sz w:val="18"/>
                <w:szCs w:val="18"/>
              </w:rPr>
              <w:t>，椅背高度从座面起算约为70-90</w:t>
            </w:r>
            <w:r>
              <w:rPr>
                <w:rFonts w:hint="eastAsia" w:hAnsi="宋体"/>
                <w:sz w:val="18"/>
                <w:szCs w:val="18"/>
                <w:lang w:val="en-US" w:eastAsia="zh-CN"/>
              </w:rPr>
              <w:t>cm</w:t>
            </w:r>
          </w:p>
        </w:tc>
        <w:tc>
          <w:tcPr>
            <w:tcW w:w="0" w:type="auto"/>
            <w:vAlign w:val="center"/>
          </w:tcPr>
          <w:p w14:paraId="40C58498">
            <w:pPr>
              <w:widowControl/>
              <w:jc w:val="center"/>
              <w:rPr>
                <w:rFonts w:hint="eastAsia" w:hAnsi="宋体"/>
                <w:sz w:val="18"/>
                <w:szCs w:val="18"/>
              </w:rPr>
            </w:pPr>
            <w:r>
              <w:rPr>
                <w:rFonts w:hint="eastAsia" w:hAnsi="宋体"/>
                <w:sz w:val="18"/>
                <w:szCs w:val="18"/>
              </w:rPr>
              <w:t>8</w:t>
            </w:r>
          </w:p>
        </w:tc>
        <w:tc>
          <w:tcPr>
            <w:tcW w:w="0" w:type="auto"/>
            <w:vAlign w:val="center"/>
          </w:tcPr>
          <w:p w14:paraId="747C88C4">
            <w:pPr>
              <w:widowControl/>
              <w:jc w:val="center"/>
              <w:rPr>
                <w:rFonts w:hint="eastAsia" w:hAnsi="宋体"/>
                <w:sz w:val="18"/>
                <w:szCs w:val="18"/>
              </w:rPr>
            </w:pPr>
            <w:r>
              <w:rPr>
                <w:rFonts w:hint="eastAsia" w:hAnsi="宋体"/>
                <w:sz w:val="18"/>
                <w:szCs w:val="18"/>
              </w:rPr>
              <w:t>0</w:t>
            </w:r>
          </w:p>
        </w:tc>
        <w:tc>
          <w:tcPr>
            <w:tcW w:w="0" w:type="auto"/>
            <w:vAlign w:val="center"/>
          </w:tcPr>
          <w:p w14:paraId="6897C754">
            <w:pPr>
              <w:widowControl/>
              <w:jc w:val="center"/>
              <w:rPr>
                <w:rFonts w:hint="eastAsia" w:hAnsi="宋体"/>
                <w:sz w:val="18"/>
                <w:szCs w:val="18"/>
              </w:rPr>
            </w:pPr>
            <w:r>
              <w:rPr>
                <w:rFonts w:hint="eastAsia" w:hAnsi="宋体"/>
                <w:sz w:val="18"/>
                <w:szCs w:val="18"/>
              </w:rPr>
              <w:t>2</w:t>
            </w:r>
          </w:p>
        </w:tc>
        <w:tc>
          <w:tcPr>
            <w:tcW w:w="0" w:type="auto"/>
            <w:vAlign w:val="center"/>
          </w:tcPr>
          <w:p w14:paraId="21C6D2BC">
            <w:pPr>
              <w:widowControl/>
              <w:jc w:val="center"/>
              <w:rPr>
                <w:rFonts w:hint="eastAsia" w:hAnsi="宋体"/>
                <w:sz w:val="18"/>
                <w:szCs w:val="18"/>
              </w:rPr>
            </w:pPr>
            <w:r>
              <w:rPr>
                <w:rFonts w:hint="eastAsia" w:hAnsi="宋体"/>
                <w:sz w:val="18"/>
                <w:szCs w:val="18"/>
              </w:rPr>
              <w:t>-6</w:t>
            </w:r>
          </w:p>
        </w:tc>
      </w:tr>
      <w:tr w14:paraId="3A10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08E5E437">
            <w:pPr>
              <w:widowControl/>
              <w:jc w:val="center"/>
              <w:rPr>
                <w:kern w:val="0"/>
                <w:sz w:val="18"/>
                <w:szCs w:val="18"/>
              </w:rPr>
            </w:pPr>
            <w:r>
              <w:rPr>
                <w:rFonts w:hint="eastAsia"/>
                <w:kern w:val="0"/>
                <w:sz w:val="18"/>
                <w:szCs w:val="18"/>
              </w:rPr>
              <w:t>3</w:t>
            </w:r>
          </w:p>
        </w:tc>
        <w:tc>
          <w:tcPr>
            <w:tcW w:w="0" w:type="auto"/>
            <w:vAlign w:val="center"/>
          </w:tcPr>
          <w:p w14:paraId="7670BBA3">
            <w:pPr>
              <w:widowControl/>
              <w:jc w:val="center"/>
              <w:rPr>
                <w:rFonts w:hint="eastAsia" w:hAnsi="宋体"/>
                <w:sz w:val="18"/>
                <w:szCs w:val="18"/>
              </w:rPr>
            </w:pPr>
            <w:r>
              <w:rPr>
                <w:rFonts w:hint="eastAsia" w:hAnsi="宋体"/>
                <w:sz w:val="18"/>
                <w:szCs w:val="18"/>
              </w:rPr>
              <w:t>餐桌</w:t>
            </w:r>
          </w:p>
        </w:tc>
        <w:tc>
          <w:tcPr>
            <w:tcW w:w="0" w:type="auto"/>
          </w:tcPr>
          <w:p w14:paraId="5DDB5C1E">
            <w:pPr>
              <w:widowControl/>
              <w:jc w:val="center"/>
              <w:rPr>
                <w:rFonts w:hint="eastAsia" w:hAnsi="宋体"/>
                <w:sz w:val="18"/>
                <w:szCs w:val="18"/>
              </w:rPr>
            </w:pPr>
            <w:r>
              <w:rPr>
                <w:rFonts w:hint="eastAsia" w:hAnsi="宋体"/>
                <w:sz w:val="18"/>
                <w:szCs w:val="18"/>
              </w:rPr>
              <w:t>万张/年</w:t>
            </w:r>
          </w:p>
        </w:tc>
        <w:tc>
          <w:tcPr>
            <w:tcW w:w="0" w:type="auto"/>
            <w:vAlign w:val="center"/>
          </w:tcPr>
          <w:p w14:paraId="1459EC35">
            <w:pPr>
              <w:widowControl/>
              <w:jc w:val="center"/>
              <w:rPr>
                <w:rFonts w:hint="eastAsia" w:hAnsi="宋体"/>
                <w:sz w:val="18"/>
                <w:szCs w:val="18"/>
              </w:rPr>
            </w:pPr>
            <w:r>
              <w:rPr>
                <w:rFonts w:hint="eastAsia" w:hAnsi="宋体"/>
                <w:sz w:val="18"/>
                <w:szCs w:val="18"/>
              </w:rPr>
              <w:t>2-4人位：</w:t>
            </w:r>
            <w:r>
              <w:rPr>
                <w:rFonts w:hint="eastAsia" w:hAnsi="宋体"/>
                <w:sz w:val="18"/>
                <w:szCs w:val="18"/>
                <w:lang w:val="en-US" w:eastAsia="zh-CN"/>
              </w:rPr>
              <w:t>常见尺寸为</w:t>
            </w:r>
            <w:r>
              <w:rPr>
                <w:rFonts w:hint="eastAsia" w:hAnsi="宋体"/>
                <w:sz w:val="18"/>
                <w:szCs w:val="18"/>
              </w:rPr>
              <w:t>80cm×80cm、90cm×90cm</w:t>
            </w:r>
          </w:p>
          <w:p w14:paraId="20B36638">
            <w:pPr>
              <w:widowControl/>
              <w:jc w:val="center"/>
              <w:rPr>
                <w:rFonts w:hint="eastAsia" w:hAnsi="宋体"/>
                <w:sz w:val="18"/>
                <w:szCs w:val="18"/>
                <w:lang w:eastAsia="zh-CN"/>
              </w:rPr>
            </w:pPr>
            <w:r>
              <w:rPr>
                <w:rFonts w:hint="eastAsia" w:hAnsi="宋体"/>
                <w:sz w:val="18"/>
                <w:szCs w:val="18"/>
              </w:rPr>
              <w:t>4-6人位：</w:t>
            </w:r>
            <w:r>
              <w:rPr>
                <w:rFonts w:hint="eastAsia" w:hAnsi="宋体"/>
                <w:sz w:val="18"/>
                <w:szCs w:val="18"/>
                <w:lang w:val="en-US" w:eastAsia="zh-CN"/>
              </w:rPr>
              <w:t>常见</w:t>
            </w:r>
            <w:r>
              <w:rPr>
                <w:rFonts w:hint="eastAsia" w:hAnsi="宋体"/>
                <w:sz w:val="18"/>
                <w:szCs w:val="18"/>
              </w:rPr>
              <w:t>尺寸为100cm×100cm、110cm×110cm</w:t>
            </w:r>
            <w:r>
              <w:rPr>
                <w:rFonts w:hint="eastAsia" w:hAnsi="宋体"/>
                <w:sz w:val="18"/>
                <w:szCs w:val="18"/>
                <w:lang w:eastAsia="zh-CN"/>
              </w:rPr>
              <w:t>、120cm×80cm、140cm×80cm</w:t>
            </w:r>
          </w:p>
          <w:p w14:paraId="3B72C4BE">
            <w:pPr>
              <w:widowControl/>
              <w:jc w:val="center"/>
              <w:rPr>
                <w:rFonts w:hint="eastAsia" w:hAnsi="宋体"/>
                <w:sz w:val="18"/>
                <w:szCs w:val="18"/>
                <w:lang w:eastAsia="zh-CN"/>
              </w:rPr>
            </w:pPr>
            <w:r>
              <w:rPr>
                <w:rFonts w:hint="eastAsia" w:hAnsi="宋体"/>
                <w:sz w:val="18"/>
                <w:szCs w:val="18"/>
                <w:lang w:eastAsia="zh-CN"/>
              </w:rPr>
              <w:t>6-8人位：</w:t>
            </w:r>
            <w:r>
              <w:rPr>
                <w:rFonts w:hint="eastAsia" w:hAnsi="宋体"/>
                <w:sz w:val="18"/>
                <w:szCs w:val="18"/>
                <w:lang w:val="en-US" w:eastAsia="zh-CN"/>
              </w:rPr>
              <w:t>常见</w:t>
            </w:r>
            <w:r>
              <w:rPr>
                <w:rFonts w:hint="eastAsia" w:hAnsi="宋体"/>
                <w:sz w:val="18"/>
                <w:szCs w:val="18"/>
                <w:lang w:eastAsia="zh-CN"/>
              </w:rPr>
              <w:t>尺寸为150cm×90cm、160cm×90cm</w:t>
            </w:r>
          </w:p>
          <w:p w14:paraId="0FC2A68F">
            <w:pPr>
              <w:widowControl/>
              <w:jc w:val="center"/>
              <w:rPr>
                <w:rFonts w:hint="eastAsia" w:hAnsi="宋体"/>
                <w:sz w:val="18"/>
                <w:szCs w:val="18"/>
                <w:lang w:eastAsia="zh-CN"/>
              </w:rPr>
            </w:pPr>
            <w:r>
              <w:rPr>
                <w:rFonts w:hint="eastAsia" w:hAnsi="宋体"/>
                <w:sz w:val="18"/>
                <w:szCs w:val="18"/>
                <w:lang w:eastAsia="zh-CN"/>
              </w:rPr>
              <w:t>8-10人位：</w:t>
            </w:r>
            <w:r>
              <w:rPr>
                <w:rFonts w:hint="eastAsia" w:hAnsi="宋体"/>
                <w:sz w:val="18"/>
                <w:szCs w:val="18"/>
                <w:lang w:val="en-US" w:eastAsia="zh-CN"/>
              </w:rPr>
              <w:t>常见尺寸</w:t>
            </w:r>
            <w:r>
              <w:rPr>
                <w:rFonts w:hint="eastAsia" w:hAnsi="宋体"/>
                <w:sz w:val="18"/>
                <w:szCs w:val="18"/>
                <w:lang w:eastAsia="zh-CN"/>
              </w:rPr>
              <w:t>180cm×90cm、200cm×100cm、220cm×90cm</w:t>
            </w:r>
          </w:p>
        </w:tc>
        <w:tc>
          <w:tcPr>
            <w:tcW w:w="0" w:type="auto"/>
            <w:vAlign w:val="center"/>
          </w:tcPr>
          <w:p w14:paraId="4369C723">
            <w:pPr>
              <w:widowControl/>
              <w:jc w:val="center"/>
              <w:rPr>
                <w:rFonts w:hint="eastAsia" w:hAnsi="宋体"/>
                <w:sz w:val="18"/>
                <w:szCs w:val="18"/>
              </w:rPr>
            </w:pPr>
            <w:r>
              <w:rPr>
                <w:rFonts w:hint="eastAsia" w:hAnsi="宋体"/>
                <w:sz w:val="18"/>
                <w:szCs w:val="18"/>
              </w:rPr>
              <w:t>0.2</w:t>
            </w:r>
          </w:p>
        </w:tc>
        <w:tc>
          <w:tcPr>
            <w:tcW w:w="0" w:type="auto"/>
            <w:vAlign w:val="center"/>
          </w:tcPr>
          <w:p w14:paraId="4C095431">
            <w:pPr>
              <w:widowControl/>
              <w:jc w:val="center"/>
              <w:rPr>
                <w:rFonts w:hint="eastAsia" w:hAnsi="宋体"/>
                <w:sz w:val="18"/>
                <w:szCs w:val="18"/>
              </w:rPr>
            </w:pPr>
            <w:r>
              <w:rPr>
                <w:rFonts w:hint="eastAsia" w:hAnsi="宋体"/>
                <w:sz w:val="18"/>
                <w:szCs w:val="18"/>
              </w:rPr>
              <w:t>0</w:t>
            </w:r>
          </w:p>
        </w:tc>
        <w:tc>
          <w:tcPr>
            <w:tcW w:w="0" w:type="auto"/>
            <w:vAlign w:val="center"/>
          </w:tcPr>
          <w:p w14:paraId="1CEFCAC6">
            <w:pPr>
              <w:widowControl/>
              <w:jc w:val="center"/>
              <w:rPr>
                <w:rFonts w:hint="eastAsia" w:hAnsi="宋体"/>
                <w:sz w:val="18"/>
                <w:szCs w:val="18"/>
              </w:rPr>
            </w:pPr>
            <w:r>
              <w:rPr>
                <w:rFonts w:hint="eastAsia" w:hAnsi="宋体"/>
                <w:sz w:val="18"/>
                <w:szCs w:val="18"/>
              </w:rPr>
              <w:t>0</w:t>
            </w:r>
          </w:p>
        </w:tc>
        <w:tc>
          <w:tcPr>
            <w:tcW w:w="0" w:type="auto"/>
            <w:vAlign w:val="center"/>
          </w:tcPr>
          <w:p w14:paraId="3642C1C8">
            <w:pPr>
              <w:widowControl/>
              <w:jc w:val="center"/>
              <w:rPr>
                <w:rFonts w:hint="eastAsia" w:hAnsi="宋体"/>
                <w:sz w:val="18"/>
                <w:szCs w:val="18"/>
              </w:rPr>
            </w:pPr>
            <w:r>
              <w:rPr>
                <w:rFonts w:hint="eastAsia" w:hAnsi="宋体"/>
                <w:sz w:val="18"/>
                <w:szCs w:val="18"/>
              </w:rPr>
              <w:t>-0.2</w:t>
            </w:r>
          </w:p>
        </w:tc>
      </w:tr>
      <w:tr w14:paraId="0852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350040FC">
            <w:pPr>
              <w:widowControl/>
              <w:jc w:val="center"/>
              <w:rPr>
                <w:kern w:val="0"/>
                <w:sz w:val="18"/>
                <w:szCs w:val="18"/>
              </w:rPr>
            </w:pPr>
            <w:r>
              <w:rPr>
                <w:rFonts w:hint="eastAsia"/>
                <w:kern w:val="0"/>
                <w:sz w:val="18"/>
                <w:szCs w:val="18"/>
              </w:rPr>
              <w:t>4</w:t>
            </w:r>
          </w:p>
        </w:tc>
        <w:tc>
          <w:tcPr>
            <w:tcW w:w="0" w:type="auto"/>
            <w:vAlign w:val="center"/>
          </w:tcPr>
          <w:p w14:paraId="65C9D3A5">
            <w:pPr>
              <w:widowControl/>
              <w:jc w:val="center"/>
              <w:rPr>
                <w:rFonts w:hint="eastAsia" w:hAnsi="宋体"/>
                <w:sz w:val="18"/>
                <w:szCs w:val="18"/>
              </w:rPr>
            </w:pPr>
            <w:r>
              <w:rPr>
                <w:rFonts w:hint="eastAsia" w:hAnsi="宋体"/>
                <w:sz w:val="18"/>
                <w:szCs w:val="18"/>
              </w:rPr>
              <w:t>套房家具</w:t>
            </w:r>
          </w:p>
        </w:tc>
        <w:tc>
          <w:tcPr>
            <w:tcW w:w="0" w:type="auto"/>
          </w:tcPr>
          <w:p w14:paraId="0AC94174">
            <w:pPr>
              <w:widowControl/>
              <w:jc w:val="center"/>
              <w:rPr>
                <w:rFonts w:hint="eastAsia" w:hAnsi="宋体"/>
                <w:sz w:val="18"/>
                <w:szCs w:val="18"/>
              </w:rPr>
            </w:pPr>
            <w:r>
              <w:rPr>
                <w:rFonts w:hint="eastAsia" w:hAnsi="宋体"/>
                <w:sz w:val="18"/>
                <w:szCs w:val="18"/>
              </w:rPr>
              <w:t>万套/年</w:t>
            </w:r>
          </w:p>
        </w:tc>
        <w:tc>
          <w:tcPr>
            <w:tcW w:w="0" w:type="auto"/>
            <w:vAlign w:val="center"/>
          </w:tcPr>
          <w:p w14:paraId="566A54B1">
            <w:pPr>
              <w:widowControl/>
              <w:jc w:val="center"/>
              <w:rPr>
                <w:rFonts w:hint="eastAsia" w:hAnsi="宋体" w:eastAsia="宋体"/>
                <w:sz w:val="18"/>
                <w:szCs w:val="18"/>
                <w:lang w:val="en-US" w:eastAsia="zh-CN"/>
              </w:rPr>
            </w:pPr>
            <w:r>
              <w:rPr>
                <w:rFonts w:hint="eastAsia" w:hAnsi="宋体"/>
                <w:sz w:val="18"/>
                <w:szCs w:val="18"/>
                <w:lang w:val="en-US" w:eastAsia="zh-CN"/>
              </w:rPr>
              <w:t>非标定制（常见有吊柜、橱柜等）</w:t>
            </w:r>
          </w:p>
        </w:tc>
        <w:tc>
          <w:tcPr>
            <w:tcW w:w="0" w:type="auto"/>
            <w:vAlign w:val="center"/>
          </w:tcPr>
          <w:p w14:paraId="65E0B0D1">
            <w:pPr>
              <w:widowControl/>
              <w:jc w:val="center"/>
              <w:rPr>
                <w:rFonts w:hint="eastAsia" w:hAnsi="宋体"/>
                <w:sz w:val="18"/>
                <w:szCs w:val="18"/>
              </w:rPr>
            </w:pPr>
            <w:r>
              <w:rPr>
                <w:rFonts w:hint="eastAsia" w:hAnsi="宋体"/>
                <w:sz w:val="18"/>
                <w:szCs w:val="18"/>
              </w:rPr>
              <w:t>0.25</w:t>
            </w:r>
          </w:p>
        </w:tc>
        <w:tc>
          <w:tcPr>
            <w:tcW w:w="0" w:type="auto"/>
            <w:vAlign w:val="center"/>
          </w:tcPr>
          <w:p w14:paraId="77EC2C2C">
            <w:pPr>
              <w:widowControl/>
              <w:jc w:val="center"/>
              <w:rPr>
                <w:rFonts w:hint="eastAsia" w:hAnsi="宋体"/>
                <w:sz w:val="18"/>
                <w:szCs w:val="18"/>
              </w:rPr>
            </w:pPr>
            <w:r>
              <w:rPr>
                <w:rFonts w:hint="eastAsia" w:hAnsi="宋体"/>
                <w:sz w:val="18"/>
                <w:szCs w:val="18"/>
              </w:rPr>
              <w:t>0</w:t>
            </w:r>
          </w:p>
        </w:tc>
        <w:tc>
          <w:tcPr>
            <w:tcW w:w="0" w:type="auto"/>
            <w:vAlign w:val="center"/>
          </w:tcPr>
          <w:p w14:paraId="3A67838E">
            <w:pPr>
              <w:widowControl/>
              <w:jc w:val="center"/>
              <w:rPr>
                <w:rFonts w:hint="eastAsia" w:hAnsi="宋体"/>
                <w:sz w:val="18"/>
                <w:szCs w:val="18"/>
              </w:rPr>
            </w:pPr>
            <w:r>
              <w:rPr>
                <w:rFonts w:hint="eastAsia" w:hAnsi="宋体"/>
                <w:sz w:val="18"/>
                <w:szCs w:val="18"/>
              </w:rPr>
              <w:t>0</w:t>
            </w:r>
          </w:p>
        </w:tc>
        <w:tc>
          <w:tcPr>
            <w:tcW w:w="0" w:type="auto"/>
            <w:vAlign w:val="center"/>
          </w:tcPr>
          <w:p w14:paraId="302EA3E5">
            <w:pPr>
              <w:widowControl/>
              <w:jc w:val="center"/>
              <w:rPr>
                <w:rFonts w:hint="eastAsia" w:hAnsi="宋体"/>
                <w:sz w:val="18"/>
                <w:szCs w:val="18"/>
              </w:rPr>
            </w:pPr>
            <w:r>
              <w:rPr>
                <w:rFonts w:hint="eastAsia" w:hAnsi="宋体"/>
                <w:sz w:val="18"/>
                <w:szCs w:val="18"/>
              </w:rPr>
              <w:t>-0.25</w:t>
            </w:r>
          </w:p>
        </w:tc>
      </w:tr>
      <w:tr w14:paraId="149D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5BA17D6A">
            <w:pPr>
              <w:widowControl/>
              <w:jc w:val="center"/>
              <w:rPr>
                <w:kern w:val="0"/>
                <w:sz w:val="18"/>
                <w:szCs w:val="18"/>
              </w:rPr>
            </w:pPr>
            <w:r>
              <w:rPr>
                <w:rFonts w:hint="eastAsia"/>
                <w:kern w:val="0"/>
                <w:sz w:val="18"/>
                <w:szCs w:val="18"/>
              </w:rPr>
              <w:t>5</w:t>
            </w:r>
          </w:p>
        </w:tc>
        <w:tc>
          <w:tcPr>
            <w:tcW w:w="0" w:type="auto"/>
            <w:vAlign w:val="center"/>
          </w:tcPr>
          <w:p w14:paraId="5D55262B">
            <w:pPr>
              <w:widowControl/>
              <w:jc w:val="center"/>
              <w:rPr>
                <w:rFonts w:hint="eastAsia" w:hAnsi="宋体"/>
                <w:sz w:val="18"/>
                <w:szCs w:val="18"/>
              </w:rPr>
            </w:pPr>
            <w:r>
              <w:rPr>
                <w:rFonts w:hint="eastAsia" w:hAnsi="宋体"/>
                <w:sz w:val="18"/>
                <w:szCs w:val="18"/>
              </w:rPr>
              <w:t>家具</w:t>
            </w:r>
          </w:p>
        </w:tc>
        <w:tc>
          <w:tcPr>
            <w:tcW w:w="0" w:type="auto"/>
          </w:tcPr>
          <w:p w14:paraId="26A63795">
            <w:pPr>
              <w:widowControl/>
              <w:jc w:val="center"/>
              <w:rPr>
                <w:rFonts w:hint="eastAsia" w:hAnsi="宋体"/>
                <w:sz w:val="18"/>
                <w:szCs w:val="18"/>
              </w:rPr>
            </w:pPr>
            <w:r>
              <w:rPr>
                <w:rFonts w:hint="eastAsia" w:hAnsi="宋体"/>
                <w:sz w:val="18"/>
                <w:szCs w:val="18"/>
              </w:rPr>
              <w:t>万件/年</w:t>
            </w:r>
          </w:p>
        </w:tc>
        <w:tc>
          <w:tcPr>
            <w:tcW w:w="0" w:type="auto"/>
            <w:vAlign w:val="center"/>
          </w:tcPr>
          <w:p w14:paraId="11EE851F">
            <w:pPr>
              <w:widowControl/>
              <w:jc w:val="center"/>
              <w:rPr>
                <w:rFonts w:hint="eastAsia" w:hAnsi="宋体"/>
                <w:sz w:val="18"/>
                <w:szCs w:val="18"/>
              </w:rPr>
            </w:pPr>
            <w:r>
              <w:rPr>
                <w:rFonts w:hint="eastAsia" w:hAnsi="宋体"/>
                <w:sz w:val="18"/>
                <w:szCs w:val="18"/>
                <w:lang w:val="en-US" w:eastAsia="zh-CN"/>
              </w:rPr>
              <w:t>非标定制（常见有各式桌椅、茶几等）</w:t>
            </w:r>
          </w:p>
        </w:tc>
        <w:tc>
          <w:tcPr>
            <w:tcW w:w="0" w:type="auto"/>
            <w:vAlign w:val="center"/>
          </w:tcPr>
          <w:p w14:paraId="51AF218D">
            <w:pPr>
              <w:widowControl/>
              <w:jc w:val="center"/>
              <w:rPr>
                <w:rFonts w:hint="eastAsia" w:hAnsi="宋体"/>
                <w:sz w:val="18"/>
                <w:szCs w:val="18"/>
              </w:rPr>
            </w:pPr>
            <w:r>
              <w:rPr>
                <w:rFonts w:hint="eastAsia" w:hAnsi="宋体"/>
                <w:sz w:val="18"/>
                <w:szCs w:val="18"/>
              </w:rPr>
              <w:t>3.5</w:t>
            </w:r>
          </w:p>
        </w:tc>
        <w:tc>
          <w:tcPr>
            <w:tcW w:w="0" w:type="auto"/>
            <w:vAlign w:val="center"/>
          </w:tcPr>
          <w:p w14:paraId="46A6F092">
            <w:pPr>
              <w:widowControl/>
              <w:jc w:val="center"/>
              <w:rPr>
                <w:rFonts w:hint="eastAsia" w:hAnsi="宋体"/>
                <w:sz w:val="18"/>
                <w:szCs w:val="18"/>
              </w:rPr>
            </w:pPr>
            <w:r>
              <w:rPr>
                <w:rFonts w:hint="eastAsia" w:hAnsi="宋体"/>
                <w:sz w:val="18"/>
                <w:szCs w:val="18"/>
              </w:rPr>
              <w:t>0</w:t>
            </w:r>
          </w:p>
        </w:tc>
        <w:tc>
          <w:tcPr>
            <w:tcW w:w="0" w:type="auto"/>
            <w:vAlign w:val="center"/>
          </w:tcPr>
          <w:p w14:paraId="0D67DC6C">
            <w:pPr>
              <w:widowControl/>
              <w:jc w:val="center"/>
              <w:rPr>
                <w:rFonts w:hint="eastAsia" w:hAnsi="宋体"/>
                <w:sz w:val="18"/>
                <w:szCs w:val="18"/>
              </w:rPr>
            </w:pPr>
            <w:r>
              <w:rPr>
                <w:rFonts w:hint="eastAsia" w:hAnsi="宋体"/>
                <w:sz w:val="18"/>
                <w:szCs w:val="18"/>
              </w:rPr>
              <w:t>2</w:t>
            </w:r>
          </w:p>
        </w:tc>
        <w:tc>
          <w:tcPr>
            <w:tcW w:w="0" w:type="auto"/>
            <w:vAlign w:val="center"/>
          </w:tcPr>
          <w:p w14:paraId="647FC45E">
            <w:pPr>
              <w:widowControl/>
              <w:jc w:val="center"/>
              <w:rPr>
                <w:rFonts w:hint="eastAsia" w:hAnsi="宋体"/>
                <w:sz w:val="18"/>
                <w:szCs w:val="18"/>
              </w:rPr>
            </w:pPr>
            <w:r>
              <w:rPr>
                <w:rFonts w:hint="eastAsia" w:hAnsi="宋体"/>
                <w:sz w:val="18"/>
                <w:szCs w:val="18"/>
              </w:rPr>
              <w:t>-1.5</w:t>
            </w:r>
          </w:p>
        </w:tc>
      </w:tr>
    </w:tbl>
    <w:p w14:paraId="6F9F22DC">
      <w:pPr>
        <w:pStyle w:val="122"/>
        <w:ind w:firstLine="0" w:firstLineChars="0"/>
        <w:outlineLvl w:val="2"/>
        <w:rPr>
          <w:b/>
        </w:rPr>
      </w:pPr>
      <w:r>
        <w:rPr>
          <w:rFonts w:hint="eastAsia"/>
          <w:b/>
        </w:rPr>
        <w:t>1</w:t>
      </w:r>
      <w:r>
        <w:rPr>
          <w:b/>
        </w:rPr>
        <w:t>.3</w:t>
      </w:r>
      <w:r>
        <w:rPr>
          <w:rFonts w:hint="eastAsia"/>
          <w:b/>
        </w:rPr>
        <w:t>主要原辅材料消耗清单</w:t>
      </w:r>
    </w:p>
    <w:p w14:paraId="4709392C">
      <w:pPr>
        <w:pStyle w:val="122"/>
        <w:ind w:firstLine="480"/>
      </w:pPr>
      <w:bookmarkStart w:id="22" w:name="_Hlk156825232"/>
      <w:r>
        <w:rPr>
          <w:rFonts w:hint="eastAsia"/>
          <w:lang w:val="en-US" w:eastAsia="zh-CN"/>
        </w:rPr>
        <w:t>本项目新增宠物家具产品，为增加产品市场竞争力，计划未来所有产品家具均考虑客户订单要求需进行喷漆，现有项目已批水性漆用量为1t/a，家具表面水性漆的涂层厚度要求在30-60微米左右。为方便计算，取中间值45微米，即0.045毫米，1吨水性漆的体积可以根据水性漆的密度来计算。本项目使用的水性漆的密度为1.2 g/cm³，那么1吨水性漆的体积为 1000000÷1.2≈833333.3 cm³，即0.833 m³。将体积0.909 m³和厚度0.045毫米（换算为0.000045米）代入公式，可得理论喷涂面积为 0.833÷0.000045≈18511平方米，由于家具件的形状复杂，存在边角、缝隙等难以喷涂均匀的地方，而且喷涂过程中会有一定的漆雾损失，以及需要进行多次喷涂以保证涂层质量，所以实际喷涂面积会小于理论计算值。一般来说，实际喷涂面积大约是理论面积的70% - 80%左右，即12958-14809平方米。因此本次评价取1t水性漆大约能满足家具表面14000m</w:t>
      </w:r>
      <w:r>
        <w:rPr>
          <w:rFonts w:hint="eastAsia"/>
          <w:vertAlign w:val="superscript"/>
          <w:lang w:val="en-US" w:eastAsia="zh-CN"/>
        </w:rPr>
        <w:t>2</w:t>
      </w:r>
      <w:r>
        <w:rPr>
          <w:rFonts w:hint="eastAsia"/>
          <w:lang w:val="en-US" w:eastAsia="zh-CN"/>
        </w:rPr>
        <w:t>左右表面积的喷漆需求，根据产品规格约能满足3000件左右的各类家具喷漆需求。本次项目迁建完成后全厂保留各类家具年产量为6万件/a，因此考虑未来水性油漆用量与本次项目全厂产能进行匹配，全厂将新增约19t/a水性漆用量。</w:t>
      </w:r>
      <w:r>
        <w:rPr>
          <w:rFonts w:hint="eastAsia"/>
        </w:rPr>
        <w:t>本项目原辅材料消耗汇总表见表3。</w:t>
      </w:r>
    </w:p>
    <w:p w14:paraId="47E33283">
      <w:pPr>
        <w:pStyle w:val="116"/>
        <w:numPr>
          <w:ilvl w:val="0"/>
          <w:numId w:val="22"/>
        </w:numPr>
        <w:spacing w:before="0" w:beforeLines="0"/>
        <w:ind w:left="0"/>
      </w:pPr>
      <w:bookmarkStart w:id="23" w:name="_Hlk124943600"/>
      <w:r>
        <w:rPr>
          <w:rFonts w:hint="eastAsia"/>
        </w:rPr>
        <w:t>本项目</w:t>
      </w:r>
      <w:r>
        <w:t>原辅材料</w:t>
      </w:r>
      <w:r>
        <w:rPr>
          <w:rFonts w:hint="eastAsia"/>
        </w:rPr>
        <w:t xml:space="preserve">消耗汇总表 </w:t>
      </w:r>
      <w:r>
        <w:t xml:space="preserve"> </w:t>
      </w:r>
    </w:p>
    <w:bookmarkEnd w:id="22"/>
    <w:bookmarkEnd w:id="23"/>
    <w:tbl>
      <w:tblPr>
        <w:tblStyle w:val="1905"/>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7"/>
        <w:gridCol w:w="1734"/>
        <w:gridCol w:w="1730"/>
        <w:gridCol w:w="1116"/>
        <w:gridCol w:w="1116"/>
        <w:gridCol w:w="1116"/>
        <w:gridCol w:w="1118"/>
        <w:gridCol w:w="1121"/>
      </w:tblGrid>
      <w:tr w14:paraId="406BE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260" w:type="pct"/>
            <w:vAlign w:val="center"/>
          </w:tcPr>
          <w:p w14:paraId="7215AA26">
            <w:pPr>
              <w:pStyle w:val="1048"/>
              <w:spacing w:before="57" w:line="229" w:lineRule="auto"/>
              <w:rPr>
                <w:sz w:val="20"/>
              </w:rPr>
            </w:pPr>
            <w:r>
              <w:rPr>
                <w:spacing w:val="1"/>
                <w:sz w:val="20"/>
              </w:rPr>
              <w:t>序号</w:t>
            </w:r>
          </w:p>
        </w:tc>
        <w:tc>
          <w:tcPr>
            <w:tcW w:w="907" w:type="pct"/>
            <w:vAlign w:val="center"/>
          </w:tcPr>
          <w:p w14:paraId="442D567C">
            <w:pPr>
              <w:pStyle w:val="1048"/>
              <w:spacing w:before="57" w:line="229" w:lineRule="auto"/>
              <w:jc w:val="center"/>
              <w:rPr>
                <w:spacing w:val="1"/>
                <w:sz w:val="20"/>
                <w:lang w:val="en-US" w:eastAsia="zh-CN"/>
              </w:rPr>
            </w:pPr>
            <w:r>
              <w:rPr>
                <w:rFonts w:hint="eastAsia"/>
                <w:spacing w:val="1"/>
                <w:sz w:val="20"/>
                <w:lang w:val="en-US" w:eastAsia="zh-CN"/>
              </w:rPr>
              <w:t>原辅材料</w:t>
            </w:r>
          </w:p>
        </w:tc>
        <w:tc>
          <w:tcPr>
            <w:tcW w:w="905" w:type="pct"/>
            <w:vAlign w:val="center"/>
          </w:tcPr>
          <w:p w14:paraId="1A5BB56E">
            <w:pPr>
              <w:pStyle w:val="1048"/>
              <w:spacing w:before="57" w:line="228" w:lineRule="auto"/>
              <w:jc w:val="center"/>
              <w:rPr>
                <w:sz w:val="20"/>
                <w:lang w:eastAsia="zh-CN"/>
              </w:rPr>
            </w:pPr>
            <w:r>
              <w:rPr>
                <w:rFonts w:hint="eastAsia"/>
                <w:spacing w:val="2"/>
                <w:sz w:val="20"/>
                <w:lang w:val="en-US" w:eastAsia="zh-CN"/>
              </w:rPr>
              <w:t>规格</w:t>
            </w:r>
          </w:p>
        </w:tc>
        <w:tc>
          <w:tcPr>
            <w:tcW w:w="584" w:type="pct"/>
            <w:vAlign w:val="center"/>
          </w:tcPr>
          <w:p w14:paraId="4B4C0365">
            <w:pPr>
              <w:pStyle w:val="1048"/>
              <w:spacing w:before="57" w:line="228" w:lineRule="auto"/>
              <w:jc w:val="center"/>
              <w:rPr>
                <w:sz w:val="20"/>
                <w:lang w:val="en-US" w:eastAsia="zh-CN"/>
              </w:rPr>
            </w:pPr>
            <w:r>
              <w:rPr>
                <w:rFonts w:hint="eastAsia"/>
                <w:sz w:val="20"/>
                <w:lang w:val="en-US" w:eastAsia="zh-CN"/>
              </w:rPr>
              <w:t>单位</w:t>
            </w:r>
          </w:p>
        </w:tc>
        <w:tc>
          <w:tcPr>
            <w:tcW w:w="584" w:type="pct"/>
            <w:vAlign w:val="center"/>
          </w:tcPr>
          <w:p w14:paraId="3E2B09A4">
            <w:pPr>
              <w:pStyle w:val="1048"/>
              <w:spacing w:before="57" w:line="228" w:lineRule="auto"/>
              <w:jc w:val="center"/>
              <w:rPr>
                <w:sz w:val="20"/>
                <w:lang w:val="en-US" w:eastAsia="zh-CN"/>
              </w:rPr>
            </w:pPr>
            <w:r>
              <w:rPr>
                <w:rFonts w:hint="eastAsia"/>
                <w:sz w:val="20"/>
                <w:lang w:val="en-US" w:eastAsia="zh-CN"/>
              </w:rPr>
              <w:t>现有项目年耗</w:t>
            </w:r>
          </w:p>
        </w:tc>
        <w:tc>
          <w:tcPr>
            <w:tcW w:w="584" w:type="pct"/>
            <w:vAlign w:val="center"/>
          </w:tcPr>
          <w:p w14:paraId="141DAB27">
            <w:pPr>
              <w:pStyle w:val="1048"/>
              <w:spacing w:before="57" w:line="228" w:lineRule="auto"/>
              <w:jc w:val="center"/>
              <w:rPr>
                <w:sz w:val="20"/>
                <w:lang w:val="en-US" w:eastAsia="zh-CN"/>
              </w:rPr>
            </w:pPr>
            <w:r>
              <w:rPr>
                <w:rFonts w:hint="eastAsia"/>
                <w:spacing w:val="2"/>
                <w:sz w:val="20"/>
                <w:lang w:val="en-US" w:eastAsia="zh-CN"/>
              </w:rPr>
              <w:t>本项目年耗</w:t>
            </w:r>
          </w:p>
        </w:tc>
        <w:tc>
          <w:tcPr>
            <w:tcW w:w="585" w:type="pct"/>
            <w:vAlign w:val="center"/>
          </w:tcPr>
          <w:p w14:paraId="513BB116">
            <w:pPr>
              <w:pStyle w:val="1048"/>
              <w:spacing w:before="57" w:line="228" w:lineRule="auto"/>
              <w:jc w:val="center"/>
              <w:rPr>
                <w:spacing w:val="2"/>
                <w:sz w:val="20"/>
                <w:lang w:val="en-US" w:eastAsia="zh-CN"/>
              </w:rPr>
            </w:pPr>
            <w:r>
              <w:rPr>
                <w:rFonts w:hint="eastAsia"/>
                <w:spacing w:val="2"/>
                <w:sz w:val="20"/>
                <w:lang w:val="en-US" w:eastAsia="zh-CN"/>
              </w:rPr>
              <w:t>项目建成后全厂</w:t>
            </w:r>
          </w:p>
        </w:tc>
        <w:tc>
          <w:tcPr>
            <w:tcW w:w="586" w:type="pct"/>
            <w:vAlign w:val="center"/>
          </w:tcPr>
          <w:p w14:paraId="7A05827D">
            <w:pPr>
              <w:pStyle w:val="1048"/>
              <w:spacing w:before="57" w:line="228" w:lineRule="auto"/>
              <w:jc w:val="center"/>
              <w:rPr>
                <w:spacing w:val="2"/>
                <w:sz w:val="20"/>
                <w:lang w:val="en-US" w:eastAsia="zh-CN"/>
              </w:rPr>
            </w:pPr>
            <w:r>
              <w:rPr>
                <w:rFonts w:hint="eastAsia"/>
                <w:spacing w:val="2"/>
                <w:sz w:val="20"/>
                <w:lang w:val="en-US" w:eastAsia="zh-CN"/>
              </w:rPr>
              <w:t>增减量</w:t>
            </w:r>
          </w:p>
        </w:tc>
      </w:tr>
      <w:tr w14:paraId="7C2CF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vAlign w:val="center"/>
          </w:tcPr>
          <w:p w14:paraId="074A6A57">
            <w:pPr>
              <w:widowControl/>
              <w:jc w:val="center"/>
              <w:rPr>
                <w:rFonts w:hint="eastAsia" w:ascii="Calibri" w:hAnsi="宋体"/>
                <w:sz w:val="18"/>
                <w:szCs w:val="18"/>
                <w:lang w:eastAsia="en-US"/>
              </w:rPr>
            </w:pPr>
            <w:r>
              <w:rPr>
                <w:rFonts w:hint="eastAsia" w:ascii="Calibri" w:hAnsi="宋体"/>
                <w:sz w:val="18"/>
                <w:szCs w:val="18"/>
                <w:lang w:eastAsia="en-US"/>
              </w:rPr>
              <w:t>1</w:t>
            </w:r>
          </w:p>
        </w:tc>
        <w:tc>
          <w:tcPr>
            <w:tcW w:w="907" w:type="pct"/>
            <w:shd w:val="clear" w:color="auto" w:fill="auto"/>
            <w:vAlign w:val="center"/>
          </w:tcPr>
          <w:p w14:paraId="4CDE3C02">
            <w:pPr>
              <w:widowControl/>
              <w:jc w:val="center"/>
              <w:rPr>
                <w:rFonts w:hint="eastAsia" w:ascii="Calibri" w:hAnsi="宋体"/>
                <w:sz w:val="18"/>
                <w:szCs w:val="18"/>
                <w:lang w:eastAsia="en-US"/>
              </w:rPr>
            </w:pPr>
            <w:r>
              <w:rPr>
                <w:rFonts w:hint="eastAsia" w:ascii="Calibri" w:hAnsi="宋体"/>
                <w:sz w:val="18"/>
                <w:szCs w:val="18"/>
                <w:lang w:eastAsia="en-US"/>
              </w:rPr>
              <w:t>橡木</w:t>
            </w:r>
          </w:p>
        </w:tc>
        <w:tc>
          <w:tcPr>
            <w:tcW w:w="905" w:type="pct"/>
            <w:vAlign w:val="center"/>
          </w:tcPr>
          <w:p w14:paraId="04B0FF9B">
            <w:pPr>
              <w:widowControl/>
              <w:jc w:val="center"/>
              <w:rPr>
                <w:rFonts w:hint="eastAsia" w:ascii="Calibri" w:hAnsi="宋体"/>
                <w:sz w:val="18"/>
                <w:szCs w:val="18"/>
                <w:lang w:eastAsia="en-US"/>
              </w:rPr>
            </w:pPr>
            <w:r>
              <w:rPr>
                <w:rFonts w:hint="eastAsia" w:ascii="Calibri" w:hAnsi="宋体"/>
                <w:sz w:val="18"/>
                <w:szCs w:val="18"/>
                <w:lang w:eastAsia="en-US"/>
              </w:rPr>
              <w:t>1t/m³</w:t>
            </w:r>
          </w:p>
        </w:tc>
        <w:tc>
          <w:tcPr>
            <w:tcW w:w="584" w:type="pct"/>
            <w:vAlign w:val="center"/>
          </w:tcPr>
          <w:p w14:paraId="154A9FD9">
            <w:pPr>
              <w:widowControl/>
              <w:jc w:val="center"/>
              <w:rPr>
                <w:rFonts w:hint="eastAsia" w:ascii="Calibri" w:hAnsi="宋体"/>
                <w:sz w:val="18"/>
                <w:szCs w:val="18"/>
                <w:lang w:eastAsia="en-US"/>
              </w:rPr>
            </w:pPr>
            <w:r>
              <w:rPr>
                <w:rFonts w:hint="eastAsia" w:ascii="Calibri" w:hAnsi="宋体"/>
                <w:sz w:val="18"/>
                <w:szCs w:val="18"/>
                <w:lang w:eastAsia="en-US"/>
              </w:rPr>
              <w:t>m³/a</w:t>
            </w:r>
          </w:p>
        </w:tc>
        <w:tc>
          <w:tcPr>
            <w:tcW w:w="584" w:type="pct"/>
            <w:shd w:val="clear" w:color="auto" w:fill="auto"/>
            <w:vAlign w:val="center"/>
          </w:tcPr>
          <w:p w14:paraId="6AE306B2">
            <w:pPr>
              <w:widowControl/>
              <w:jc w:val="center"/>
              <w:rPr>
                <w:rFonts w:hint="eastAsia" w:ascii="Calibri" w:hAnsi="宋体"/>
                <w:sz w:val="18"/>
                <w:szCs w:val="18"/>
                <w:lang w:eastAsia="en-US"/>
              </w:rPr>
            </w:pPr>
            <w:r>
              <w:rPr>
                <w:rFonts w:hint="eastAsia" w:ascii="Calibri" w:hAnsi="宋体"/>
                <w:sz w:val="18"/>
                <w:szCs w:val="18"/>
                <w:lang w:eastAsia="en-US"/>
              </w:rPr>
              <w:t>1000</w:t>
            </w:r>
          </w:p>
        </w:tc>
        <w:tc>
          <w:tcPr>
            <w:tcW w:w="584" w:type="pct"/>
            <w:shd w:val="clear" w:color="auto" w:fill="auto"/>
            <w:vAlign w:val="center"/>
          </w:tcPr>
          <w:p w14:paraId="2284C3B7">
            <w:pPr>
              <w:widowControl/>
              <w:jc w:val="center"/>
              <w:rPr>
                <w:rFonts w:hint="eastAsia" w:ascii="Calibri" w:hAnsi="宋体"/>
                <w:sz w:val="18"/>
                <w:szCs w:val="18"/>
                <w:lang w:eastAsia="en-US"/>
              </w:rPr>
            </w:pPr>
            <w:r>
              <w:rPr>
                <w:rFonts w:hint="eastAsia" w:ascii="Calibri" w:hAnsi="宋体"/>
                <w:sz w:val="18"/>
                <w:szCs w:val="18"/>
                <w:lang w:eastAsia="en-US"/>
              </w:rPr>
              <w:t>1000</w:t>
            </w:r>
          </w:p>
        </w:tc>
        <w:tc>
          <w:tcPr>
            <w:tcW w:w="585" w:type="pct"/>
            <w:shd w:val="clear" w:color="auto" w:fill="auto"/>
            <w:vAlign w:val="center"/>
          </w:tcPr>
          <w:p w14:paraId="5A55106E">
            <w:pPr>
              <w:widowControl/>
              <w:jc w:val="center"/>
              <w:rPr>
                <w:rFonts w:hint="eastAsia" w:ascii="Calibri" w:hAnsi="宋体"/>
                <w:sz w:val="18"/>
                <w:szCs w:val="18"/>
                <w:lang w:eastAsia="en-US"/>
              </w:rPr>
            </w:pPr>
            <w:r>
              <w:rPr>
                <w:rFonts w:hint="eastAsia" w:ascii="Calibri" w:hAnsi="宋体"/>
                <w:sz w:val="18"/>
                <w:szCs w:val="18"/>
                <w:lang w:eastAsia="en-US"/>
              </w:rPr>
              <w:t>1000</w:t>
            </w:r>
          </w:p>
        </w:tc>
        <w:tc>
          <w:tcPr>
            <w:tcW w:w="586" w:type="pct"/>
            <w:vAlign w:val="center"/>
          </w:tcPr>
          <w:p w14:paraId="0C643AB5">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3746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vAlign w:val="center"/>
          </w:tcPr>
          <w:p w14:paraId="640EFB53">
            <w:pPr>
              <w:widowControl/>
              <w:jc w:val="center"/>
              <w:rPr>
                <w:rFonts w:hint="eastAsia" w:ascii="Calibri" w:hAnsi="宋体"/>
                <w:sz w:val="18"/>
                <w:szCs w:val="18"/>
                <w:lang w:eastAsia="en-US"/>
              </w:rPr>
            </w:pPr>
            <w:r>
              <w:rPr>
                <w:rFonts w:hint="eastAsia" w:ascii="Calibri" w:hAnsi="宋体"/>
                <w:sz w:val="18"/>
                <w:szCs w:val="18"/>
                <w:lang w:eastAsia="en-US"/>
              </w:rPr>
              <w:t>2</w:t>
            </w:r>
          </w:p>
        </w:tc>
        <w:tc>
          <w:tcPr>
            <w:tcW w:w="907" w:type="pct"/>
            <w:shd w:val="clear" w:color="auto" w:fill="auto"/>
            <w:vAlign w:val="center"/>
          </w:tcPr>
          <w:p w14:paraId="2DCC892D">
            <w:pPr>
              <w:widowControl/>
              <w:jc w:val="center"/>
              <w:rPr>
                <w:rFonts w:hint="eastAsia" w:ascii="Calibri" w:hAnsi="宋体"/>
                <w:sz w:val="18"/>
                <w:szCs w:val="18"/>
                <w:lang w:eastAsia="en-US"/>
              </w:rPr>
            </w:pPr>
            <w:r>
              <w:rPr>
                <w:rFonts w:hint="eastAsia" w:ascii="Calibri" w:hAnsi="宋体"/>
                <w:sz w:val="18"/>
                <w:szCs w:val="18"/>
                <w:lang w:eastAsia="en-US"/>
              </w:rPr>
              <w:t>白胶</w:t>
            </w:r>
          </w:p>
        </w:tc>
        <w:tc>
          <w:tcPr>
            <w:tcW w:w="905" w:type="pct"/>
            <w:vAlign w:val="center"/>
          </w:tcPr>
          <w:p w14:paraId="1AB75E03">
            <w:pPr>
              <w:widowControl/>
              <w:jc w:val="center"/>
              <w:rPr>
                <w:rFonts w:hint="eastAsia" w:ascii="Calibri" w:hAnsi="宋体"/>
                <w:sz w:val="18"/>
                <w:szCs w:val="18"/>
                <w:lang w:eastAsia="en-US"/>
              </w:rPr>
            </w:pPr>
            <w:r>
              <w:rPr>
                <w:rFonts w:hint="eastAsia" w:ascii="Calibri" w:hAnsi="宋体"/>
                <w:sz w:val="18"/>
                <w:szCs w:val="18"/>
                <w:lang w:eastAsia="en-US"/>
              </w:rPr>
              <w:t>20KG/桶</w:t>
            </w:r>
          </w:p>
        </w:tc>
        <w:tc>
          <w:tcPr>
            <w:tcW w:w="584" w:type="pct"/>
            <w:vAlign w:val="center"/>
          </w:tcPr>
          <w:p w14:paraId="079E6AB1">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636FB45B">
            <w:pPr>
              <w:widowControl/>
              <w:jc w:val="center"/>
              <w:rPr>
                <w:rFonts w:hint="eastAsia" w:ascii="Calibri" w:hAnsi="宋体"/>
                <w:sz w:val="18"/>
                <w:szCs w:val="18"/>
                <w:lang w:eastAsia="en-US"/>
              </w:rPr>
            </w:pPr>
            <w:r>
              <w:rPr>
                <w:rFonts w:hint="eastAsia" w:ascii="Calibri" w:hAnsi="宋体"/>
                <w:sz w:val="18"/>
                <w:szCs w:val="18"/>
                <w:lang w:eastAsia="en-US"/>
              </w:rPr>
              <w:t>2</w:t>
            </w:r>
          </w:p>
        </w:tc>
        <w:tc>
          <w:tcPr>
            <w:tcW w:w="584" w:type="pct"/>
            <w:shd w:val="clear" w:color="auto" w:fill="auto"/>
            <w:vAlign w:val="center"/>
          </w:tcPr>
          <w:p w14:paraId="4F66FFC4">
            <w:pPr>
              <w:widowControl/>
              <w:jc w:val="center"/>
              <w:rPr>
                <w:rFonts w:hint="eastAsia" w:ascii="Calibri" w:hAnsi="宋体"/>
                <w:sz w:val="18"/>
                <w:szCs w:val="18"/>
                <w:lang w:eastAsia="en-US"/>
              </w:rPr>
            </w:pPr>
            <w:r>
              <w:rPr>
                <w:rFonts w:hint="eastAsia" w:ascii="Calibri" w:hAnsi="宋体"/>
                <w:sz w:val="18"/>
                <w:szCs w:val="18"/>
                <w:lang w:eastAsia="en-US"/>
              </w:rPr>
              <w:t>1</w:t>
            </w:r>
          </w:p>
        </w:tc>
        <w:tc>
          <w:tcPr>
            <w:tcW w:w="585" w:type="pct"/>
            <w:shd w:val="clear" w:color="auto" w:fill="auto"/>
            <w:vAlign w:val="center"/>
          </w:tcPr>
          <w:p w14:paraId="3D6EF3F2">
            <w:pPr>
              <w:widowControl/>
              <w:jc w:val="center"/>
              <w:rPr>
                <w:rFonts w:hint="eastAsia" w:ascii="Calibri" w:hAnsi="宋体"/>
                <w:sz w:val="18"/>
                <w:szCs w:val="18"/>
                <w:lang w:eastAsia="en-US"/>
              </w:rPr>
            </w:pPr>
            <w:r>
              <w:rPr>
                <w:rFonts w:hint="eastAsia" w:ascii="Calibri" w:hAnsi="宋体"/>
                <w:sz w:val="18"/>
                <w:szCs w:val="18"/>
                <w:lang w:eastAsia="en-US"/>
              </w:rPr>
              <w:t>1</w:t>
            </w:r>
          </w:p>
        </w:tc>
        <w:tc>
          <w:tcPr>
            <w:tcW w:w="586" w:type="pct"/>
            <w:vAlign w:val="center"/>
          </w:tcPr>
          <w:p w14:paraId="64915A69">
            <w:pPr>
              <w:widowControl/>
              <w:jc w:val="center"/>
              <w:rPr>
                <w:rFonts w:hint="eastAsia" w:ascii="Calibri" w:hAnsi="宋体"/>
                <w:sz w:val="18"/>
                <w:szCs w:val="18"/>
                <w:lang w:eastAsia="en-US"/>
              </w:rPr>
            </w:pPr>
            <w:r>
              <w:rPr>
                <w:rFonts w:hint="eastAsia" w:ascii="Calibri" w:hAnsi="宋体"/>
                <w:sz w:val="18"/>
                <w:szCs w:val="18"/>
                <w:lang w:eastAsia="en-US"/>
              </w:rPr>
              <w:t>-1</w:t>
            </w:r>
          </w:p>
        </w:tc>
      </w:tr>
      <w:tr w14:paraId="235FA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vAlign w:val="center"/>
          </w:tcPr>
          <w:p w14:paraId="22691080">
            <w:pPr>
              <w:widowControl/>
              <w:jc w:val="center"/>
              <w:rPr>
                <w:rFonts w:hint="eastAsia" w:ascii="Calibri" w:hAnsi="宋体"/>
                <w:sz w:val="18"/>
                <w:szCs w:val="18"/>
                <w:lang w:eastAsia="en-US"/>
              </w:rPr>
            </w:pPr>
            <w:r>
              <w:rPr>
                <w:rFonts w:hint="eastAsia" w:ascii="Calibri" w:hAnsi="宋体"/>
                <w:sz w:val="18"/>
                <w:szCs w:val="18"/>
                <w:lang w:eastAsia="en-US"/>
              </w:rPr>
              <w:t>3</w:t>
            </w:r>
          </w:p>
        </w:tc>
        <w:tc>
          <w:tcPr>
            <w:tcW w:w="907" w:type="pct"/>
            <w:shd w:val="clear" w:color="auto" w:fill="auto"/>
            <w:vAlign w:val="center"/>
          </w:tcPr>
          <w:p w14:paraId="33AABF64">
            <w:pPr>
              <w:widowControl/>
              <w:jc w:val="center"/>
              <w:rPr>
                <w:rFonts w:hint="eastAsia" w:ascii="Calibri" w:hAnsi="宋体"/>
                <w:sz w:val="18"/>
                <w:szCs w:val="18"/>
                <w:lang w:eastAsia="en-US"/>
              </w:rPr>
            </w:pPr>
            <w:r>
              <w:rPr>
                <w:rFonts w:hint="eastAsia" w:ascii="Calibri" w:hAnsi="宋体"/>
                <w:sz w:val="18"/>
                <w:szCs w:val="18"/>
                <w:lang w:eastAsia="en-US"/>
              </w:rPr>
              <w:t>水性漆</w:t>
            </w:r>
          </w:p>
        </w:tc>
        <w:tc>
          <w:tcPr>
            <w:tcW w:w="905" w:type="pct"/>
            <w:vAlign w:val="center"/>
          </w:tcPr>
          <w:p w14:paraId="387D1E58">
            <w:pPr>
              <w:widowControl/>
              <w:jc w:val="center"/>
              <w:rPr>
                <w:rFonts w:hint="eastAsia" w:ascii="Calibri" w:hAnsi="宋体"/>
                <w:sz w:val="18"/>
                <w:szCs w:val="18"/>
                <w:lang w:eastAsia="en-US"/>
              </w:rPr>
            </w:pPr>
            <w:r>
              <w:rPr>
                <w:rFonts w:hint="eastAsia" w:ascii="Calibri" w:hAnsi="宋体"/>
                <w:sz w:val="18"/>
                <w:szCs w:val="18"/>
                <w:lang w:eastAsia="en-US"/>
              </w:rPr>
              <w:t>20KG/桶</w:t>
            </w:r>
          </w:p>
        </w:tc>
        <w:tc>
          <w:tcPr>
            <w:tcW w:w="584" w:type="pct"/>
            <w:vAlign w:val="center"/>
          </w:tcPr>
          <w:p w14:paraId="3301E698">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6AF819C7">
            <w:pPr>
              <w:widowControl/>
              <w:jc w:val="center"/>
              <w:rPr>
                <w:rFonts w:hint="eastAsia" w:ascii="Calibri" w:hAnsi="宋体"/>
                <w:sz w:val="18"/>
                <w:szCs w:val="18"/>
                <w:lang w:eastAsia="en-US"/>
              </w:rPr>
            </w:pPr>
            <w:r>
              <w:rPr>
                <w:rFonts w:hint="eastAsia" w:ascii="Calibri" w:hAnsi="宋体"/>
                <w:sz w:val="18"/>
                <w:szCs w:val="18"/>
                <w:lang w:eastAsia="en-US"/>
              </w:rPr>
              <w:t>1</w:t>
            </w:r>
          </w:p>
        </w:tc>
        <w:tc>
          <w:tcPr>
            <w:tcW w:w="584" w:type="pct"/>
            <w:shd w:val="clear" w:color="auto" w:fill="auto"/>
            <w:vAlign w:val="center"/>
          </w:tcPr>
          <w:p w14:paraId="4B01C8D9">
            <w:pPr>
              <w:widowControl/>
              <w:jc w:val="center"/>
              <w:rPr>
                <w:rFonts w:hint="eastAsia" w:ascii="Calibri" w:hAnsi="宋体"/>
                <w:sz w:val="18"/>
                <w:szCs w:val="18"/>
                <w:lang w:eastAsia="en-US"/>
              </w:rPr>
            </w:pPr>
            <w:r>
              <w:rPr>
                <w:rFonts w:hint="eastAsia" w:ascii="Calibri" w:hAnsi="宋体"/>
                <w:sz w:val="18"/>
                <w:szCs w:val="18"/>
                <w:lang w:eastAsia="en-US"/>
              </w:rPr>
              <w:t>20</w:t>
            </w:r>
          </w:p>
        </w:tc>
        <w:tc>
          <w:tcPr>
            <w:tcW w:w="585" w:type="pct"/>
            <w:shd w:val="clear" w:color="auto" w:fill="auto"/>
            <w:vAlign w:val="center"/>
          </w:tcPr>
          <w:p w14:paraId="1E8319DB">
            <w:pPr>
              <w:widowControl/>
              <w:jc w:val="center"/>
              <w:rPr>
                <w:rFonts w:hint="eastAsia" w:ascii="Calibri" w:hAnsi="宋体"/>
                <w:sz w:val="18"/>
                <w:szCs w:val="18"/>
                <w:lang w:eastAsia="en-US"/>
              </w:rPr>
            </w:pPr>
            <w:r>
              <w:rPr>
                <w:rFonts w:hint="eastAsia" w:ascii="Calibri" w:hAnsi="宋体"/>
                <w:sz w:val="18"/>
                <w:szCs w:val="18"/>
                <w:lang w:eastAsia="en-US"/>
              </w:rPr>
              <w:t>20</w:t>
            </w:r>
          </w:p>
        </w:tc>
        <w:tc>
          <w:tcPr>
            <w:tcW w:w="586" w:type="pct"/>
            <w:vAlign w:val="center"/>
          </w:tcPr>
          <w:p w14:paraId="2683A50D">
            <w:pPr>
              <w:widowControl/>
              <w:jc w:val="center"/>
              <w:rPr>
                <w:rFonts w:hint="eastAsia" w:ascii="Calibri" w:hAnsi="宋体"/>
                <w:sz w:val="18"/>
                <w:szCs w:val="18"/>
                <w:lang w:eastAsia="en-US"/>
              </w:rPr>
            </w:pPr>
            <w:r>
              <w:rPr>
                <w:rFonts w:hint="eastAsia" w:ascii="Calibri" w:hAnsi="宋体"/>
                <w:sz w:val="18"/>
                <w:szCs w:val="18"/>
                <w:lang w:eastAsia="en-US"/>
              </w:rPr>
              <w:t>+19</w:t>
            </w:r>
          </w:p>
        </w:tc>
      </w:tr>
      <w:tr w14:paraId="0148F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vAlign w:val="center"/>
          </w:tcPr>
          <w:p w14:paraId="2806F0DF">
            <w:pPr>
              <w:widowControl/>
              <w:jc w:val="center"/>
              <w:rPr>
                <w:rFonts w:hint="eastAsia" w:ascii="Calibri" w:hAnsi="宋体"/>
                <w:sz w:val="18"/>
                <w:szCs w:val="18"/>
                <w:lang w:eastAsia="en-US"/>
              </w:rPr>
            </w:pPr>
            <w:r>
              <w:rPr>
                <w:rFonts w:hint="eastAsia" w:ascii="Calibri" w:hAnsi="宋体"/>
                <w:sz w:val="18"/>
                <w:szCs w:val="18"/>
                <w:lang w:eastAsia="en-US"/>
              </w:rPr>
              <w:t>4</w:t>
            </w:r>
          </w:p>
        </w:tc>
        <w:tc>
          <w:tcPr>
            <w:tcW w:w="907" w:type="pct"/>
            <w:shd w:val="clear" w:color="auto" w:fill="auto"/>
            <w:vAlign w:val="center"/>
          </w:tcPr>
          <w:p w14:paraId="2D535396">
            <w:pPr>
              <w:widowControl/>
              <w:jc w:val="center"/>
              <w:rPr>
                <w:rFonts w:hint="eastAsia" w:ascii="Calibri" w:hAnsi="宋体"/>
                <w:sz w:val="18"/>
                <w:szCs w:val="18"/>
                <w:lang w:eastAsia="en-US"/>
              </w:rPr>
            </w:pPr>
            <w:r>
              <w:rPr>
                <w:rFonts w:hint="eastAsia" w:ascii="Calibri" w:hAnsi="宋体"/>
                <w:sz w:val="18"/>
                <w:szCs w:val="18"/>
                <w:lang w:eastAsia="en-US"/>
              </w:rPr>
              <w:t>气动钉、螺丝等</w:t>
            </w:r>
          </w:p>
        </w:tc>
        <w:tc>
          <w:tcPr>
            <w:tcW w:w="905" w:type="pct"/>
            <w:vAlign w:val="center"/>
          </w:tcPr>
          <w:p w14:paraId="70BA5A49">
            <w:pPr>
              <w:widowControl/>
              <w:jc w:val="center"/>
              <w:rPr>
                <w:rFonts w:hint="eastAsia" w:ascii="Calibri" w:hAnsi="宋体"/>
                <w:sz w:val="18"/>
                <w:szCs w:val="18"/>
                <w:lang w:eastAsia="en-US"/>
              </w:rPr>
            </w:pPr>
            <w:r>
              <w:rPr>
                <w:rFonts w:hint="eastAsia" w:ascii="Calibri" w:hAnsi="宋体"/>
                <w:sz w:val="18"/>
                <w:szCs w:val="18"/>
                <w:lang w:eastAsia="en-US"/>
              </w:rPr>
              <w:t>30KG/袋、</w:t>
            </w:r>
          </w:p>
        </w:tc>
        <w:tc>
          <w:tcPr>
            <w:tcW w:w="584" w:type="pct"/>
            <w:vAlign w:val="center"/>
          </w:tcPr>
          <w:p w14:paraId="38269696">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3B6BB9E8">
            <w:pPr>
              <w:widowControl/>
              <w:jc w:val="center"/>
              <w:rPr>
                <w:rFonts w:hint="eastAsia" w:ascii="Calibri" w:hAnsi="宋体"/>
                <w:sz w:val="18"/>
                <w:szCs w:val="18"/>
                <w:lang w:eastAsia="en-US"/>
              </w:rPr>
            </w:pPr>
            <w:r>
              <w:rPr>
                <w:rFonts w:hint="eastAsia" w:ascii="Calibri" w:hAnsi="宋体"/>
                <w:sz w:val="18"/>
                <w:szCs w:val="18"/>
                <w:lang w:eastAsia="en-US"/>
              </w:rPr>
              <w:t>0.6</w:t>
            </w:r>
          </w:p>
        </w:tc>
        <w:tc>
          <w:tcPr>
            <w:tcW w:w="584" w:type="pct"/>
            <w:shd w:val="clear" w:color="auto" w:fill="auto"/>
            <w:vAlign w:val="center"/>
          </w:tcPr>
          <w:p w14:paraId="2EC7C2B6">
            <w:pPr>
              <w:widowControl/>
              <w:jc w:val="center"/>
              <w:rPr>
                <w:rFonts w:hint="eastAsia" w:ascii="Calibri" w:hAnsi="宋体"/>
                <w:sz w:val="18"/>
                <w:szCs w:val="18"/>
                <w:lang w:eastAsia="en-US"/>
              </w:rPr>
            </w:pPr>
            <w:r>
              <w:rPr>
                <w:rFonts w:hint="eastAsia" w:ascii="Calibri" w:hAnsi="宋体"/>
                <w:sz w:val="18"/>
                <w:szCs w:val="18"/>
                <w:lang w:eastAsia="en-US"/>
              </w:rPr>
              <w:t>0.6</w:t>
            </w:r>
          </w:p>
        </w:tc>
        <w:tc>
          <w:tcPr>
            <w:tcW w:w="585" w:type="pct"/>
            <w:shd w:val="clear" w:color="auto" w:fill="auto"/>
            <w:vAlign w:val="center"/>
          </w:tcPr>
          <w:p w14:paraId="40859A42">
            <w:pPr>
              <w:widowControl/>
              <w:jc w:val="center"/>
              <w:rPr>
                <w:rFonts w:hint="eastAsia" w:ascii="Calibri" w:hAnsi="宋体"/>
                <w:sz w:val="18"/>
                <w:szCs w:val="18"/>
                <w:lang w:eastAsia="en-US"/>
              </w:rPr>
            </w:pPr>
            <w:r>
              <w:rPr>
                <w:rFonts w:hint="eastAsia" w:ascii="Calibri" w:hAnsi="宋体"/>
                <w:sz w:val="18"/>
                <w:szCs w:val="18"/>
                <w:lang w:eastAsia="en-US"/>
              </w:rPr>
              <w:t>0.6</w:t>
            </w:r>
          </w:p>
        </w:tc>
        <w:tc>
          <w:tcPr>
            <w:tcW w:w="586" w:type="pct"/>
            <w:vAlign w:val="center"/>
          </w:tcPr>
          <w:p w14:paraId="607B9D28">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10CF0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shd w:val="clear" w:color="auto" w:fill="auto"/>
            <w:vAlign w:val="center"/>
          </w:tcPr>
          <w:p w14:paraId="6730E632">
            <w:pPr>
              <w:widowControl/>
              <w:jc w:val="center"/>
              <w:rPr>
                <w:rFonts w:hint="eastAsia" w:ascii="Calibri" w:hAnsi="宋体"/>
                <w:sz w:val="18"/>
                <w:szCs w:val="18"/>
                <w:lang w:eastAsia="en-US"/>
              </w:rPr>
            </w:pPr>
            <w:r>
              <w:rPr>
                <w:rFonts w:hint="eastAsia" w:ascii="Calibri" w:hAnsi="宋体"/>
                <w:sz w:val="18"/>
                <w:szCs w:val="18"/>
                <w:lang w:eastAsia="en-US"/>
              </w:rPr>
              <w:t>5</w:t>
            </w:r>
          </w:p>
        </w:tc>
        <w:tc>
          <w:tcPr>
            <w:tcW w:w="907" w:type="pct"/>
            <w:shd w:val="clear" w:color="auto" w:fill="auto"/>
            <w:vAlign w:val="center"/>
          </w:tcPr>
          <w:p w14:paraId="59FBF031">
            <w:pPr>
              <w:widowControl/>
              <w:jc w:val="center"/>
              <w:rPr>
                <w:rFonts w:hint="eastAsia" w:ascii="Calibri" w:hAnsi="宋体"/>
                <w:sz w:val="18"/>
                <w:szCs w:val="18"/>
                <w:lang w:eastAsia="en-US"/>
              </w:rPr>
            </w:pPr>
            <w:r>
              <w:rPr>
                <w:rFonts w:hint="eastAsia" w:ascii="Calibri" w:hAnsi="宋体"/>
                <w:sz w:val="18"/>
                <w:szCs w:val="18"/>
                <w:lang w:eastAsia="en-US"/>
              </w:rPr>
              <w:t>布料</w:t>
            </w:r>
          </w:p>
        </w:tc>
        <w:tc>
          <w:tcPr>
            <w:tcW w:w="905" w:type="pct"/>
            <w:vAlign w:val="center"/>
          </w:tcPr>
          <w:p w14:paraId="313A7FE9">
            <w:pPr>
              <w:widowControl/>
              <w:jc w:val="center"/>
              <w:rPr>
                <w:rFonts w:hint="eastAsia" w:ascii="Calibri" w:hAnsi="宋体"/>
                <w:sz w:val="18"/>
                <w:szCs w:val="18"/>
                <w:lang w:eastAsia="en-US"/>
              </w:rPr>
            </w:pPr>
            <w:r>
              <w:rPr>
                <w:rFonts w:hint="eastAsia" w:ascii="Calibri" w:hAnsi="宋体"/>
                <w:sz w:val="18"/>
                <w:szCs w:val="18"/>
                <w:lang w:eastAsia="en-US"/>
              </w:rPr>
              <w:t>50m/卷</w:t>
            </w:r>
          </w:p>
        </w:tc>
        <w:tc>
          <w:tcPr>
            <w:tcW w:w="584" w:type="pct"/>
            <w:shd w:val="clear" w:color="auto" w:fill="auto"/>
            <w:vAlign w:val="center"/>
          </w:tcPr>
          <w:p w14:paraId="2C49EE01">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2B3C6678">
            <w:pPr>
              <w:widowControl/>
              <w:jc w:val="center"/>
              <w:rPr>
                <w:rFonts w:hint="eastAsia" w:ascii="Calibri" w:hAnsi="宋体"/>
                <w:sz w:val="18"/>
                <w:szCs w:val="18"/>
                <w:lang w:eastAsia="en-US"/>
              </w:rPr>
            </w:pPr>
            <w:r>
              <w:rPr>
                <w:rFonts w:hint="eastAsia" w:ascii="Calibri" w:hAnsi="宋体"/>
                <w:sz w:val="18"/>
                <w:szCs w:val="18"/>
                <w:lang w:eastAsia="en-US"/>
              </w:rPr>
              <w:t>75</w:t>
            </w:r>
          </w:p>
        </w:tc>
        <w:tc>
          <w:tcPr>
            <w:tcW w:w="584" w:type="pct"/>
            <w:shd w:val="clear" w:color="auto" w:fill="auto"/>
            <w:vAlign w:val="center"/>
          </w:tcPr>
          <w:p w14:paraId="4733D5B9">
            <w:pPr>
              <w:widowControl/>
              <w:jc w:val="center"/>
              <w:rPr>
                <w:rFonts w:hint="eastAsia" w:ascii="Calibri" w:hAnsi="宋体"/>
                <w:sz w:val="18"/>
                <w:szCs w:val="18"/>
                <w:lang w:eastAsia="en-US"/>
              </w:rPr>
            </w:pPr>
            <w:r>
              <w:rPr>
                <w:rFonts w:hint="eastAsia" w:ascii="Calibri" w:hAnsi="宋体"/>
                <w:sz w:val="18"/>
                <w:szCs w:val="18"/>
                <w:lang w:eastAsia="en-US"/>
              </w:rPr>
              <w:t>75</w:t>
            </w:r>
          </w:p>
        </w:tc>
        <w:tc>
          <w:tcPr>
            <w:tcW w:w="585" w:type="pct"/>
            <w:shd w:val="clear" w:color="auto" w:fill="auto"/>
            <w:vAlign w:val="center"/>
          </w:tcPr>
          <w:p w14:paraId="2A9AE2AA">
            <w:pPr>
              <w:widowControl/>
              <w:jc w:val="center"/>
              <w:rPr>
                <w:rFonts w:hint="eastAsia" w:ascii="Calibri" w:hAnsi="宋体"/>
                <w:sz w:val="18"/>
                <w:szCs w:val="18"/>
                <w:lang w:eastAsia="en-US"/>
              </w:rPr>
            </w:pPr>
            <w:r>
              <w:rPr>
                <w:rFonts w:hint="eastAsia" w:ascii="Calibri" w:hAnsi="宋体"/>
                <w:sz w:val="18"/>
                <w:szCs w:val="18"/>
                <w:lang w:eastAsia="en-US"/>
              </w:rPr>
              <w:t>75</w:t>
            </w:r>
          </w:p>
        </w:tc>
        <w:tc>
          <w:tcPr>
            <w:tcW w:w="586" w:type="pct"/>
          </w:tcPr>
          <w:p w14:paraId="12F6600A">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435D4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shd w:val="clear" w:color="auto" w:fill="auto"/>
            <w:vAlign w:val="center"/>
          </w:tcPr>
          <w:p w14:paraId="7298B0CA">
            <w:pPr>
              <w:widowControl/>
              <w:jc w:val="center"/>
              <w:rPr>
                <w:rFonts w:hint="eastAsia" w:ascii="Calibri" w:hAnsi="宋体"/>
                <w:sz w:val="18"/>
                <w:szCs w:val="18"/>
                <w:lang w:eastAsia="en-US"/>
              </w:rPr>
            </w:pPr>
            <w:r>
              <w:rPr>
                <w:rFonts w:hint="eastAsia" w:ascii="Calibri" w:hAnsi="宋体"/>
                <w:sz w:val="18"/>
                <w:szCs w:val="18"/>
                <w:lang w:eastAsia="en-US"/>
              </w:rPr>
              <w:t>6</w:t>
            </w:r>
          </w:p>
        </w:tc>
        <w:tc>
          <w:tcPr>
            <w:tcW w:w="907" w:type="pct"/>
            <w:shd w:val="clear" w:color="auto" w:fill="auto"/>
            <w:vAlign w:val="center"/>
          </w:tcPr>
          <w:p w14:paraId="66C332E3">
            <w:pPr>
              <w:widowControl/>
              <w:jc w:val="center"/>
              <w:rPr>
                <w:rFonts w:hint="eastAsia" w:ascii="Calibri" w:hAnsi="宋体"/>
                <w:sz w:val="18"/>
                <w:szCs w:val="18"/>
                <w:lang w:eastAsia="en-US"/>
              </w:rPr>
            </w:pPr>
            <w:r>
              <w:rPr>
                <w:rFonts w:hint="eastAsia" w:ascii="Calibri" w:hAnsi="宋体"/>
                <w:sz w:val="18"/>
                <w:szCs w:val="18"/>
                <w:lang w:eastAsia="en-US"/>
              </w:rPr>
              <w:t>皮革</w:t>
            </w:r>
          </w:p>
        </w:tc>
        <w:tc>
          <w:tcPr>
            <w:tcW w:w="905" w:type="pct"/>
            <w:vAlign w:val="center"/>
          </w:tcPr>
          <w:p w14:paraId="698411E4">
            <w:pPr>
              <w:widowControl/>
              <w:jc w:val="center"/>
              <w:rPr>
                <w:rFonts w:hint="eastAsia" w:ascii="Calibri" w:hAnsi="宋体"/>
                <w:sz w:val="18"/>
                <w:szCs w:val="18"/>
                <w:lang w:eastAsia="en-US"/>
              </w:rPr>
            </w:pPr>
            <w:r>
              <w:rPr>
                <w:rFonts w:hint="eastAsia" w:ascii="Calibri" w:hAnsi="宋体"/>
                <w:sz w:val="18"/>
                <w:szCs w:val="18"/>
                <w:lang w:eastAsia="en-US"/>
              </w:rPr>
              <w:t>50尺/张</w:t>
            </w:r>
          </w:p>
        </w:tc>
        <w:tc>
          <w:tcPr>
            <w:tcW w:w="584" w:type="pct"/>
            <w:shd w:val="clear" w:color="auto" w:fill="auto"/>
            <w:vAlign w:val="center"/>
          </w:tcPr>
          <w:p w14:paraId="0AAF5975">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04079A20">
            <w:pPr>
              <w:widowControl/>
              <w:jc w:val="center"/>
              <w:rPr>
                <w:rFonts w:hint="eastAsia" w:ascii="Calibri" w:hAnsi="宋体"/>
                <w:sz w:val="18"/>
                <w:szCs w:val="18"/>
                <w:lang w:eastAsia="en-US"/>
              </w:rPr>
            </w:pPr>
            <w:r>
              <w:rPr>
                <w:rFonts w:hint="eastAsia" w:ascii="Calibri" w:hAnsi="宋体"/>
                <w:sz w:val="18"/>
                <w:szCs w:val="18"/>
                <w:lang w:eastAsia="en-US"/>
              </w:rPr>
              <w:t>30</w:t>
            </w:r>
          </w:p>
        </w:tc>
        <w:tc>
          <w:tcPr>
            <w:tcW w:w="584" w:type="pct"/>
            <w:shd w:val="clear" w:color="auto" w:fill="auto"/>
            <w:vAlign w:val="center"/>
          </w:tcPr>
          <w:p w14:paraId="32B06F14">
            <w:pPr>
              <w:widowControl/>
              <w:jc w:val="center"/>
              <w:rPr>
                <w:rFonts w:hint="eastAsia" w:ascii="Calibri" w:hAnsi="宋体"/>
                <w:sz w:val="18"/>
                <w:szCs w:val="18"/>
                <w:lang w:eastAsia="en-US"/>
              </w:rPr>
            </w:pPr>
            <w:r>
              <w:rPr>
                <w:rFonts w:hint="eastAsia" w:ascii="Calibri" w:hAnsi="宋体"/>
                <w:sz w:val="18"/>
                <w:szCs w:val="18"/>
                <w:lang w:eastAsia="en-US"/>
              </w:rPr>
              <w:t>30</w:t>
            </w:r>
          </w:p>
        </w:tc>
        <w:tc>
          <w:tcPr>
            <w:tcW w:w="585" w:type="pct"/>
            <w:shd w:val="clear" w:color="auto" w:fill="auto"/>
            <w:vAlign w:val="center"/>
          </w:tcPr>
          <w:p w14:paraId="35A2279C">
            <w:pPr>
              <w:widowControl/>
              <w:jc w:val="center"/>
              <w:rPr>
                <w:rFonts w:hint="eastAsia" w:ascii="Calibri" w:hAnsi="宋体"/>
                <w:sz w:val="18"/>
                <w:szCs w:val="18"/>
                <w:lang w:eastAsia="en-US"/>
              </w:rPr>
            </w:pPr>
            <w:r>
              <w:rPr>
                <w:rFonts w:hint="eastAsia" w:ascii="Calibri" w:hAnsi="宋体"/>
                <w:sz w:val="18"/>
                <w:szCs w:val="18"/>
                <w:lang w:eastAsia="en-US"/>
              </w:rPr>
              <w:t>30</w:t>
            </w:r>
          </w:p>
        </w:tc>
        <w:tc>
          <w:tcPr>
            <w:tcW w:w="586" w:type="pct"/>
          </w:tcPr>
          <w:p w14:paraId="28D6613E">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5B105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shd w:val="clear" w:color="auto" w:fill="auto"/>
            <w:vAlign w:val="center"/>
          </w:tcPr>
          <w:p w14:paraId="6D2B63F6">
            <w:pPr>
              <w:widowControl/>
              <w:jc w:val="center"/>
              <w:rPr>
                <w:rFonts w:hint="eastAsia" w:ascii="Calibri" w:hAnsi="宋体"/>
                <w:sz w:val="18"/>
                <w:szCs w:val="18"/>
                <w:lang w:eastAsia="en-US"/>
              </w:rPr>
            </w:pPr>
            <w:r>
              <w:rPr>
                <w:rFonts w:hint="eastAsia" w:ascii="Calibri" w:hAnsi="宋体"/>
                <w:sz w:val="18"/>
                <w:szCs w:val="18"/>
                <w:lang w:eastAsia="en-US"/>
              </w:rPr>
              <w:t>7</w:t>
            </w:r>
          </w:p>
        </w:tc>
        <w:tc>
          <w:tcPr>
            <w:tcW w:w="907" w:type="pct"/>
            <w:shd w:val="clear" w:color="auto" w:fill="auto"/>
            <w:vAlign w:val="center"/>
          </w:tcPr>
          <w:p w14:paraId="34A6B39A">
            <w:pPr>
              <w:widowControl/>
              <w:jc w:val="center"/>
              <w:rPr>
                <w:rFonts w:hint="eastAsia" w:ascii="Calibri" w:hAnsi="宋体"/>
                <w:sz w:val="18"/>
                <w:szCs w:val="18"/>
                <w:lang w:eastAsia="en-US"/>
              </w:rPr>
            </w:pPr>
            <w:r>
              <w:rPr>
                <w:rFonts w:hint="eastAsia" w:ascii="Calibri" w:hAnsi="宋体"/>
                <w:sz w:val="18"/>
                <w:szCs w:val="18"/>
                <w:lang w:eastAsia="en-US"/>
              </w:rPr>
              <w:t>纸箱</w:t>
            </w:r>
          </w:p>
        </w:tc>
        <w:tc>
          <w:tcPr>
            <w:tcW w:w="905" w:type="pct"/>
            <w:vAlign w:val="center"/>
          </w:tcPr>
          <w:p w14:paraId="7A44EFB0">
            <w:pPr>
              <w:widowControl/>
              <w:jc w:val="center"/>
              <w:rPr>
                <w:rFonts w:hint="eastAsia" w:ascii="Calibri" w:hAnsi="宋体"/>
                <w:sz w:val="18"/>
                <w:szCs w:val="18"/>
                <w:lang w:eastAsia="en-US"/>
              </w:rPr>
            </w:pPr>
            <w:r>
              <w:rPr>
                <w:rFonts w:hint="eastAsia" w:ascii="Calibri" w:hAnsi="宋体"/>
                <w:sz w:val="18"/>
                <w:szCs w:val="18"/>
                <w:lang w:eastAsia="en-US"/>
              </w:rPr>
              <w:t>/</w:t>
            </w:r>
          </w:p>
        </w:tc>
        <w:tc>
          <w:tcPr>
            <w:tcW w:w="584" w:type="pct"/>
            <w:shd w:val="clear" w:color="auto" w:fill="auto"/>
            <w:vAlign w:val="center"/>
          </w:tcPr>
          <w:p w14:paraId="41AC1D7C">
            <w:pPr>
              <w:widowControl/>
              <w:jc w:val="center"/>
              <w:rPr>
                <w:rFonts w:hint="eastAsia" w:ascii="Calibri" w:hAnsi="宋体"/>
                <w:sz w:val="18"/>
                <w:szCs w:val="18"/>
                <w:lang w:eastAsia="en-US"/>
              </w:rPr>
            </w:pPr>
            <w:r>
              <w:rPr>
                <w:rFonts w:hint="eastAsia" w:ascii="Calibri" w:hAnsi="宋体"/>
                <w:sz w:val="18"/>
                <w:szCs w:val="18"/>
                <w:lang w:eastAsia="en-US"/>
              </w:rPr>
              <w:t>万张/a</w:t>
            </w:r>
          </w:p>
        </w:tc>
        <w:tc>
          <w:tcPr>
            <w:tcW w:w="584" w:type="pct"/>
            <w:shd w:val="clear" w:color="auto" w:fill="auto"/>
            <w:vAlign w:val="center"/>
          </w:tcPr>
          <w:p w14:paraId="02F40347">
            <w:pPr>
              <w:widowControl/>
              <w:jc w:val="center"/>
              <w:rPr>
                <w:rFonts w:hint="eastAsia" w:ascii="Calibri" w:hAnsi="宋体"/>
                <w:sz w:val="18"/>
                <w:szCs w:val="18"/>
                <w:lang w:eastAsia="en-US"/>
              </w:rPr>
            </w:pPr>
            <w:r>
              <w:rPr>
                <w:rFonts w:hint="eastAsia" w:ascii="Calibri" w:hAnsi="宋体"/>
                <w:sz w:val="18"/>
                <w:szCs w:val="18"/>
                <w:lang w:eastAsia="en-US"/>
              </w:rPr>
              <w:t>6</w:t>
            </w:r>
          </w:p>
        </w:tc>
        <w:tc>
          <w:tcPr>
            <w:tcW w:w="584" w:type="pct"/>
            <w:shd w:val="clear" w:color="auto" w:fill="auto"/>
            <w:vAlign w:val="center"/>
          </w:tcPr>
          <w:p w14:paraId="662E7D7A">
            <w:pPr>
              <w:widowControl/>
              <w:jc w:val="center"/>
              <w:rPr>
                <w:rFonts w:hint="eastAsia" w:ascii="Calibri" w:hAnsi="宋体"/>
                <w:sz w:val="18"/>
                <w:szCs w:val="18"/>
                <w:lang w:eastAsia="en-US"/>
              </w:rPr>
            </w:pPr>
            <w:r>
              <w:rPr>
                <w:rFonts w:hint="eastAsia" w:ascii="Calibri" w:hAnsi="宋体"/>
                <w:sz w:val="18"/>
                <w:szCs w:val="18"/>
                <w:lang w:eastAsia="en-US"/>
              </w:rPr>
              <w:t>6</w:t>
            </w:r>
          </w:p>
        </w:tc>
        <w:tc>
          <w:tcPr>
            <w:tcW w:w="585" w:type="pct"/>
            <w:shd w:val="clear" w:color="auto" w:fill="auto"/>
            <w:vAlign w:val="center"/>
          </w:tcPr>
          <w:p w14:paraId="2090A47D">
            <w:pPr>
              <w:widowControl/>
              <w:jc w:val="center"/>
              <w:rPr>
                <w:rFonts w:hint="eastAsia" w:ascii="Calibri" w:hAnsi="宋体"/>
                <w:sz w:val="18"/>
                <w:szCs w:val="18"/>
                <w:lang w:eastAsia="en-US"/>
              </w:rPr>
            </w:pPr>
            <w:r>
              <w:rPr>
                <w:rFonts w:hint="eastAsia" w:ascii="Calibri" w:hAnsi="宋体"/>
                <w:sz w:val="18"/>
                <w:szCs w:val="18"/>
                <w:lang w:eastAsia="en-US"/>
              </w:rPr>
              <w:t>6</w:t>
            </w:r>
          </w:p>
        </w:tc>
        <w:tc>
          <w:tcPr>
            <w:tcW w:w="586" w:type="pct"/>
          </w:tcPr>
          <w:p w14:paraId="680320DB">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1DA00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shd w:val="clear" w:color="auto" w:fill="auto"/>
            <w:vAlign w:val="center"/>
          </w:tcPr>
          <w:p w14:paraId="1DB5DC5F">
            <w:pPr>
              <w:widowControl/>
              <w:jc w:val="center"/>
              <w:rPr>
                <w:rFonts w:hint="eastAsia" w:ascii="Calibri" w:hAnsi="宋体"/>
                <w:sz w:val="18"/>
                <w:szCs w:val="18"/>
                <w:lang w:eastAsia="en-US"/>
              </w:rPr>
            </w:pPr>
            <w:r>
              <w:rPr>
                <w:rFonts w:hint="eastAsia" w:ascii="Calibri" w:hAnsi="宋体"/>
                <w:sz w:val="18"/>
                <w:szCs w:val="18"/>
                <w:lang w:eastAsia="en-US"/>
              </w:rPr>
              <w:t>8</w:t>
            </w:r>
          </w:p>
        </w:tc>
        <w:tc>
          <w:tcPr>
            <w:tcW w:w="907" w:type="pct"/>
            <w:shd w:val="clear" w:color="auto" w:fill="auto"/>
            <w:vAlign w:val="center"/>
          </w:tcPr>
          <w:p w14:paraId="64D3F323">
            <w:pPr>
              <w:widowControl/>
              <w:jc w:val="center"/>
              <w:rPr>
                <w:rFonts w:hint="eastAsia" w:ascii="Calibri" w:hAnsi="宋体"/>
                <w:sz w:val="18"/>
                <w:szCs w:val="18"/>
                <w:lang w:eastAsia="en-US"/>
              </w:rPr>
            </w:pPr>
            <w:r>
              <w:rPr>
                <w:rFonts w:hint="eastAsia" w:ascii="Calibri" w:hAnsi="宋体"/>
                <w:sz w:val="18"/>
                <w:szCs w:val="18"/>
                <w:lang w:eastAsia="en-US"/>
              </w:rPr>
              <w:t>EVA热熔胶棒</w:t>
            </w:r>
          </w:p>
        </w:tc>
        <w:tc>
          <w:tcPr>
            <w:tcW w:w="905" w:type="pct"/>
            <w:vAlign w:val="center"/>
          </w:tcPr>
          <w:p w14:paraId="3223829F">
            <w:pPr>
              <w:widowControl/>
              <w:jc w:val="center"/>
              <w:rPr>
                <w:rFonts w:hint="eastAsia" w:ascii="Calibri" w:hAnsi="宋体"/>
                <w:sz w:val="18"/>
                <w:szCs w:val="18"/>
                <w:lang w:eastAsia="en-US"/>
              </w:rPr>
            </w:pPr>
            <w:r>
              <w:rPr>
                <w:rFonts w:hint="eastAsia" w:ascii="Calibri" w:hAnsi="宋体"/>
                <w:sz w:val="18"/>
                <w:szCs w:val="18"/>
                <w:lang w:eastAsia="en-US"/>
              </w:rPr>
              <w:t>20KG/箱</w:t>
            </w:r>
          </w:p>
        </w:tc>
        <w:tc>
          <w:tcPr>
            <w:tcW w:w="584" w:type="pct"/>
            <w:shd w:val="clear" w:color="auto" w:fill="auto"/>
            <w:vAlign w:val="center"/>
          </w:tcPr>
          <w:p w14:paraId="1756DFBC">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7AD1FE31">
            <w:pPr>
              <w:widowControl/>
              <w:jc w:val="center"/>
              <w:rPr>
                <w:rFonts w:hint="eastAsia" w:ascii="Calibri" w:hAnsi="宋体"/>
                <w:sz w:val="18"/>
                <w:szCs w:val="18"/>
                <w:lang w:eastAsia="en-US"/>
              </w:rPr>
            </w:pPr>
            <w:r>
              <w:rPr>
                <w:rFonts w:hint="eastAsia" w:ascii="Calibri" w:hAnsi="宋体"/>
                <w:sz w:val="18"/>
                <w:szCs w:val="18"/>
                <w:lang w:eastAsia="en-US"/>
              </w:rPr>
              <w:t>0.2</w:t>
            </w:r>
          </w:p>
        </w:tc>
        <w:tc>
          <w:tcPr>
            <w:tcW w:w="584" w:type="pct"/>
            <w:shd w:val="clear" w:color="auto" w:fill="auto"/>
            <w:vAlign w:val="center"/>
          </w:tcPr>
          <w:p w14:paraId="6511A844">
            <w:pPr>
              <w:widowControl/>
              <w:jc w:val="center"/>
              <w:rPr>
                <w:rFonts w:hint="eastAsia" w:ascii="Calibri" w:hAnsi="宋体"/>
                <w:sz w:val="18"/>
                <w:szCs w:val="18"/>
                <w:lang w:eastAsia="en-US"/>
              </w:rPr>
            </w:pPr>
            <w:r>
              <w:rPr>
                <w:rFonts w:hint="eastAsia" w:ascii="Calibri" w:hAnsi="宋体"/>
                <w:sz w:val="18"/>
                <w:szCs w:val="18"/>
                <w:lang w:eastAsia="en-US"/>
              </w:rPr>
              <w:t>0.2</w:t>
            </w:r>
          </w:p>
        </w:tc>
        <w:tc>
          <w:tcPr>
            <w:tcW w:w="585" w:type="pct"/>
            <w:shd w:val="clear" w:color="auto" w:fill="auto"/>
            <w:vAlign w:val="center"/>
          </w:tcPr>
          <w:p w14:paraId="71712C51">
            <w:pPr>
              <w:widowControl/>
              <w:jc w:val="center"/>
              <w:rPr>
                <w:rFonts w:hint="eastAsia" w:ascii="Calibri" w:hAnsi="宋体"/>
                <w:sz w:val="18"/>
                <w:szCs w:val="18"/>
                <w:lang w:eastAsia="en-US"/>
              </w:rPr>
            </w:pPr>
            <w:r>
              <w:rPr>
                <w:rFonts w:hint="eastAsia" w:ascii="Calibri" w:hAnsi="宋体"/>
                <w:sz w:val="18"/>
                <w:szCs w:val="18"/>
                <w:lang w:eastAsia="en-US"/>
              </w:rPr>
              <w:t>0.2</w:t>
            </w:r>
          </w:p>
        </w:tc>
        <w:tc>
          <w:tcPr>
            <w:tcW w:w="586" w:type="pct"/>
          </w:tcPr>
          <w:p w14:paraId="1DBE03AF">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1A2E1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60" w:type="pct"/>
            <w:shd w:val="clear" w:color="auto" w:fill="auto"/>
            <w:vAlign w:val="center"/>
          </w:tcPr>
          <w:p w14:paraId="1F01B5CF">
            <w:pPr>
              <w:widowControl/>
              <w:jc w:val="center"/>
              <w:rPr>
                <w:rFonts w:hint="eastAsia" w:ascii="Calibri" w:hAnsi="宋体"/>
                <w:sz w:val="18"/>
                <w:szCs w:val="18"/>
                <w:lang w:eastAsia="en-US"/>
              </w:rPr>
            </w:pPr>
            <w:r>
              <w:rPr>
                <w:rFonts w:hint="eastAsia" w:ascii="Calibri" w:hAnsi="宋体"/>
                <w:sz w:val="18"/>
                <w:szCs w:val="18"/>
                <w:lang w:eastAsia="en-US"/>
              </w:rPr>
              <w:t>9</w:t>
            </w:r>
          </w:p>
        </w:tc>
        <w:tc>
          <w:tcPr>
            <w:tcW w:w="907" w:type="pct"/>
            <w:shd w:val="clear" w:color="auto" w:fill="auto"/>
            <w:vAlign w:val="center"/>
          </w:tcPr>
          <w:p w14:paraId="1FA899E5">
            <w:pPr>
              <w:widowControl/>
              <w:jc w:val="center"/>
              <w:rPr>
                <w:rFonts w:hint="eastAsia" w:ascii="Calibri" w:hAnsi="宋体"/>
                <w:sz w:val="18"/>
                <w:szCs w:val="18"/>
                <w:lang w:eastAsia="en-US"/>
              </w:rPr>
            </w:pPr>
            <w:r>
              <w:rPr>
                <w:rFonts w:hint="eastAsia" w:ascii="Calibri" w:hAnsi="宋体"/>
                <w:sz w:val="18"/>
                <w:szCs w:val="18"/>
                <w:lang w:eastAsia="en-US"/>
              </w:rPr>
              <w:t>海绵</w:t>
            </w:r>
          </w:p>
        </w:tc>
        <w:tc>
          <w:tcPr>
            <w:tcW w:w="905" w:type="pct"/>
            <w:vAlign w:val="center"/>
          </w:tcPr>
          <w:p w14:paraId="2224BBE9">
            <w:pPr>
              <w:widowControl/>
              <w:jc w:val="center"/>
              <w:rPr>
                <w:rFonts w:hint="eastAsia" w:ascii="Calibri" w:hAnsi="宋体"/>
                <w:sz w:val="18"/>
                <w:szCs w:val="18"/>
                <w:lang w:eastAsia="en-US"/>
              </w:rPr>
            </w:pPr>
            <w:r>
              <w:rPr>
                <w:rFonts w:hint="eastAsia" w:ascii="Calibri" w:hAnsi="宋体"/>
                <w:sz w:val="18"/>
                <w:szCs w:val="18"/>
                <w:lang w:eastAsia="en-US"/>
              </w:rPr>
              <w:t>/</w:t>
            </w:r>
          </w:p>
        </w:tc>
        <w:tc>
          <w:tcPr>
            <w:tcW w:w="584" w:type="pct"/>
            <w:shd w:val="clear" w:color="auto" w:fill="auto"/>
            <w:vAlign w:val="center"/>
          </w:tcPr>
          <w:p w14:paraId="7649ABB0">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034C7B2C">
            <w:pPr>
              <w:widowControl/>
              <w:jc w:val="center"/>
              <w:rPr>
                <w:rFonts w:hint="eastAsia" w:ascii="Calibri" w:hAnsi="宋体"/>
                <w:sz w:val="18"/>
                <w:szCs w:val="18"/>
                <w:lang w:eastAsia="en-US"/>
              </w:rPr>
            </w:pPr>
            <w:r>
              <w:rPr>
                <w:rFonts w:hint="eastAsia" w:ascii="Calibri" w:hAnsi="宋体"/>
                <w:sz w:val="18"/>
                <w:szCs w:val="18"/>
                <w:lang w:eastAsia="en-US"/>
              </w:rPr>
              <w:t>120</w:t>
            </w:r>
          </w:p>
        </w:tc>
        <w:tc>
          <w:tcPr>
            <w:tcW w:w="584" w:type="pct"/>
            <w:shd w:val="clear" w:color="auto" w:fill="auto"/>
            <w:vAlign w:val="center"/>
          </w:tcPr>
          <w:p w14:paraId="281E00C2">
            <w:pPr>
              <w:widowControl/>
              <w:jc w:val="center"/>
              <w:rPr>
                <w:rFonts w:hint="eastAsia" w:ascii="Calibri" w:hAnsi="宋体"/>
                <w:sz w:val="18"/>
                <w:szCs w:val="18"/>
                <w:lang w:eastAsia="en-US"/>
              </w:rPr>
            </w:pPr>
            <w:r>
              <w:rPr>
                <w:rFonts w:hint="eastAsia" w:ascii="Calibri" w:hAnsi="宋体"/>
                <w:sz w:val="18"/>
                <w:szCs w:val="18"/>
                <w:lang w:eastAsia="en-US"/>
              </w:rPr>
              <w:t>120</w:t>
            </w:r>
          </w:p>
        </w:tc>
        <w:tc>
          <w:tcPr>
            <w:tcW w:w="585" w:type="pct"/>
            <w:shd w:val="clear" w:color="auto" w:fill="auto"/>
            <w:vAlign w:val="center"/>
          </w:tcPr>
          <w:p w14:paraId="220FC7AE">
            <w:pPr>
              <w:widowControl/>
              <w:jc w:val="center"/>
              <w:rPr>
                <w:rFonts w:hint="eastAsia" w:ascii="Calibri" w:hAnsi="宋体"/>
                <w:sz w:val="18"/>
                <w:szCs w:val="18"/>
                <w:lang w:eastAsia="en-US"/>
              </w:rPr>
            </w:pPr>
            <w:r>
              <w:rPr>
                <w:rFonts w:hint="eastAsia" w:ascii="Calibri" w:hAnsi="宋体"/>
                <w:sz w:val="18"/>
                <w:szCs w:val="18"/>
                <w:lang w:eastAsia="en-US"/>
              </w:rPr>
              <w:t>120</w:t>
            </w:r>
          </w:p>
        </w:tc>
        <w:tc>
          <w:tcPr>
            <w:tcW w:w="586" w:type="pct"/>
          </w:tcPr>
          <w:p w14:paraId="526C2757">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1EA04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260" w:type="pct"/>
            <w:shd w:val="clear" w:color="auto" w:fill="auto"/>
            <w:vAlign w:val="center"/>
          </w:tcPr>
          <w:p w14:paraId="758AEA76">
            <w:pPr>
              <w:widowControl/>
              <w:jc w:val="center"/>
              <w:rPr>
                <w:rFonts w:hint="eastAsia" w:ascii="Calibri" w:hAnsi="宋体"/>
                <w:sz w:val="18"/>
                <w:szCs w:val="18"/>
                <w:lang w:eastAsia="en-US"/>
              </w:rPr>
            </w:pPr>
            <w:r>
              <w:rPr>
                <w:rFonts w:hint="eastAsia" w:ascii="Calibri" w:hAnsi="宋体"/>
                <w:sz w:val="18"/>
                <w:szCs w:val="18"/>
                <w:lang w:eastAsia="en-US"/>
              </w:rPr>
              <w:t>10</w:t>
            </w:r>
          </w:p>
        </w:tc>
        <w:tc>
          <w:tcPr>
            <w:tcW w:w="907" w:type="pct"/>
            <w:shd w:val="clear" w:color="auto" w:fill="auto"/>
            <w:vAlign w:val="center"/>
          </w:tcPr>
          <w:p w14:paraId="6D519EA2">
            <w:pPr>
              <w:widowControl/>
              <w:jc w:val="center"/>
              <w:rPr>
                <w:rFonts w:hint="eastAsia" w:ascii="Calibri" w:hAnsi="宋体"/>
                <w:sz w:val="18"/>
                <w:szCs w:val="18"/>
                <w:lang w:eastAsia="en-US"/>
              </w:rPr>
            </w:pPr>
            <w:r>
              <w:rPr>
                <w:rFonts w:hint="eastAsia" w:ascii="Calibri" w:hAnsi="宋体"/>
                <w:sz w:val="18"/>
                <w:szCs w:val="18"/>
                <w:lang w:eastAsia="en-US"/>
              </w:rPr>
              <w:t>木材</w:t>
            </w:r>
          </w:p>
        </w:tc>
        <w:tc>
          <w:tcPr>
            <w:tcW w:w="905" w:type="pct"/>
            <w:vAlign w:val="center"/>
          </w:tcPr>
          <w:p w14:paraId="6F3FB119">
            <w:pPr>
              <w:widowControl/>
              <w:jc w:val="center"/>
              <w:rPr>
                <w:rFonts w:hint="eastAsia" w:ascii="Calibri" w:hAnsi="宋体"/>
                <w:sz w:val="18"/>
                <w:szCs w:val="18"/>
                <w:lang w:eastAsia="en-US"/>
              </w:rPr>
            </w:pPr>
            <w:r>
              <w:rPr>
                <w:rFonts w:hint="eastAsia" w:ascii="Calibri" w:hAnsi="宋体"/>
                <w:sz w:val="18"/>
                <w:szCs w:val="18"/>
                <w:lang w:eastAsia="en-US"/>
              </w:rPr>
              <w:t>1t/m³</w:t>
            </w:r>
          </w:p>
        </w:tc>
        <w:tc>
          <w:tcPr>
            <w:tcW w:w="584" w:type="pct"/>
            <w:shd w:val="clear" w:color="auto" w:fill="auto"/>
            <w:vAlign w:val="center"/>
          </w:tcPr>
          <w:p w14:paraId="7979FCD9">
            <w:pPr>
              <w:widowControl/>
              <w:jc w:val="center"/>
              <w:rPr>
                <w:rFonts w:hint="eastAsia" w:ascii="Calibri" w:hAnsi="宋体"/>
                <w:sz w:val="18"/>
                <w:szCs w:val="18"/>
                <w:lang w:eastAsia="en-US"/>
              </w:rPr>
            </w:pPr>
            <w:r>
              <w:rPr>
                <w:rFonts w:hint="eastAsia" w:ascii="Calibri" w:hAnsi="宋体"/>
                <w:sz w:val="18"/>
                <w:szCs w:val="18"/>
                <w:lang w:eastAsia="en-US"/>
              </w:rPr>
              <w:t>m³/a</w:t>
            </w:r>
          </w:p>
        </w:tc>
        <w:tc>
          <w:tcPr>
            <w:tcW w:w="584" w:type="pct"/>
            <w:shd w:val="clear" w:color="auto" w:fill="auto"/>
            <w:vAlign w:val="center"/>
          </w:tcPr>
          <w:p w14:paraId="57E5F8E8">
            <w:pPr>
              <w:widowControl/>
              <w:jc w:val="center"/>
              <w:rPr>
                <w:rFonts w:hint="eastAsia" w:ascii="Calibri" w:hAnsi="宋体"/>
                <w:sz w:val="18"/>
                <w:szCs w:val="18"/>
                <w:lang w:eastAsia="en-US"/>
              </w:rPr>
            </w:pPr>
            <w:r>
              <w:rPr>
                <w:rFonts w:hint="eastAsia" w:ascii="Calibri" w:hAnsi="宋体"/>
                <w:sz w:val="18"/>
                <w:szCs w:val="18"/>
                <w:lang w:eastAsia="en-US"/>
              </w:rPr>
              <w:t>1500</w:t>
            </w:r>
          </w:p>
        </w:tc>
        <w:tc>
          <w:tcPr>
            <w:tcW w:w="584" w:type="pct"/>
            <w:shd w:val="clear" w:color="auto" w:fill="auto"/>
            <w:vAlign w:val="center"/>
          </w:tcPr>
          <w:p w14:paraId="2C8AC1A9">
            <w:pPr>
              <w:widowControl/>
              <w:jc w:val="center"/>
              <w:rPr>
                <w:rFonts w:hint="eastAsia" w:ascii="Calibri" w:hAnsi="宋体"/>
                <w:sz w:val="18"/>
                <w:szCs w:val="18"/>
                <w:lang w:eastAsia="en-US"/>
              </w:rPr>
            </w:pPr>
            <w:r>
              <w:rPr>
                <w:rFonts w:hint="eastAsia" w:ascii="Calibri" w:hAnsi="宋体"/>
                <w:sz w:val="18"/>
                <w:szCs w:val="18"/>
                <w:lang w:eastAsia="en-US"/>
              </w:rPr>
              <w:t>1500</w:t>
            </w:r>
          </w:p>
        </w:tc>
        <w:tc>
          <w:tcPr>
            <w:tcW w:w="585" w:type="pct"/>
            <w:shd w:val="clear" w:color="auto" w:fill="auto"/>
            <w:vAlign w:val="center"/>
          </w:tcPr>
          <w:p w14:paraId="62344104">
            <w:pPr>
              <w:widowControl/>
              <w:jc w:val="center"/>
              <w:rPr>
                <w:rFonts w:hint="eastAsia" w:ascii="Calibri" w:hAnsi="宋体"/>
                <w:sz w:val="18"/>
                <w:szCs w:val="18"/>
                <w:lang w:eastAsia="en-US"/>
              </w:rPr>
            </w:pPr>
            <w:r>
              <w:rPr>
                <w:rFonts w:hint="eastAsia" w:ascii="Calibri" w:hAnsi="宋体"/>
                <w:sz w:val="18"/>
                <w:szCs w:val="18"/>
                <w:lang w:eastAsia="en-US"/>
              </w:rPr>
              <w:t>1500</w:t>
            </w:r>
          </w:p>
        </w:tc>
        <w:tc>
          <w:tcPr>
            <w:tcW w:w="586" w:type="pct"/>
          </w:tcPr>
          <w:p w14:paraId="09AF2161">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3877C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260" w:type="pct"/>
            <w:shd w:val="clear" w:color="auto" w:fill="auto"/>
            <w:vAlign w:val="center"/>
          </w:tcPr>
          <w:p w14:paraId="04FB05D6">
            <w:pPr>
              <w:widowControl/>
              <w:jc w:val="center"/>
              <w:rPr>
                <w:rFonts w:hint="eastAsia" w:ascii="Calibri" w:hAnsi="宋体"/>
                <w:sz w:val="18"/>
                <w:szCs w:val="18"/>
                <w:lang w:eastAsia="en-US"/>
              </w:rPr>
            </w:pPr>
            <w:r>
              <w:rPr>
                <w:rFonts w:hint="eastAsia" w:ascii="Calibri" w:hAnsi="宋体"/>
                <w:sz w:val="18"/>
                <w:szCs w:val="18"/>
                <w:lang w:eastAsia="en-US"/>
              </w:rPr>
              <w:t>11</w:t>
            </w:r>
          </w:p>
        </w:tc>
        <w:tc>
          <w:tcPr>
            <w:tcW w:w="907" w:type="pct"/>
            <w:shd w:val="clear" w:color="auto" w:fill="auto"/>
            <w:vAlign w:val="center"/>
          </w:tcPr>
          <w:p w14:paraId="2D1B934C">
            <w:pPr>
              <w:widowControl/>
              <w:jc w:val="center"/>
              <w:rPr>
                <w:rFonts w:hint="eastAsia" w:ascii="Calibri" w:hAnsi="宋体"/>
                <w:sz w:val="18"/>
                <w:szCs w:val="18"/>
                <w:lang w:eastAsia="en-US"/>
              </w:rPr>
            </w:pPr>
            <w:r>
              <w:rPr>
                <w:rFonts w:hint="eastAsia" w:ascii="Calibri" w:hAnsi="宋体"/>
                <w:sz w:val="18"/>
                <w:szCs w:val="18"/>
                <w:lang w:eastAsia="en-US"/>
              </w:rPr>
              <w:t>多层板</w:t>
            </w:r>
          </w:p>
        </w:tc>
        <w:tc>
          <w:tcPr>
            <w:tcW w:w="905" w:type="pct"/>
            <w:vAlign w:val="center"/>
          </w:tcPr>
          <w:p w14:paraId="15EE9910">
            <w:pPr>
              <w:widowControl/>
              <w:jc w:val="center"/>
              <w:rPr>
                <w:rFonts w:hint="eastAsia" w:ascii="Calibri" w:hAnsi="宋体"/>
                <w:sz w:val="18"/>
                <w:szCs w:val="18"/>
                <w:lang w:eastAsia="en-US"/>
              </w:rPr>
            </w:pPr>
            <w:r>
              <w:rPr>
                <w:rFonts w:hint="eastAsia" w:ascii="Calibri" w:hAnsi="宋体"/>
                <w:sz w:val="18"/>
                <w:szCs w:val="18"/>
                <w:lang w:eastAsia="en-US"/>
              </w:rPr>
              <w:t>50张/件</w:t>
            </w:r>
          </w:p>
        </w:tc>
        <w:tc>
          <w:tcPr>
            <w:tcW w:w="584" w:type="pct"/>
            <w:shd w:val="clear" w:color="auto" w:fill="auto"/>
            <w:vAlign w:val="center"/>
          </w:tcPr>
          <w:p w14:paraId="7D72B51A">
            <w:pPr>
              <w:widowControl/>
              <w:jc w:val="center"/>
              <w:rPr>
                <w:rFonts w:hint="eastAsia" w:ascii="Calibri" w:hAnsi="宋体"/>
                <w:sz w:val="18"/>
                <w:szCs w:val="18"/>
                <w:lang w:eastAsia="en-US"/>
              </w:rPr>
            </w:pPr>
            <w:r>
              <w:rPr>
                <w:rFonts w:hint="eastAsia" w:ascii="Calibri" w:hAnsi="宋体"/>
                <w:sz w:val="18"/>
                <w:szCs w:val="18"/>
                <w:lang w:eastAsia="en-US"/>
              </w:rPr>
              <w:t>m³/a</w:t>
            </w:r>
          </w:p>
        </w:tc>
        <w:tc>
          <w:tcPr>
            <w:tcW w:w="584" w:type="pct"/>
            <w:shd w:val="clear" w:color="auto" w:fill="auto"/>
            <w:vAlign w:val="center"/>
          </w:tcPr>
          <w:p w14:paraId="349AB2C9">
            <w:pPr>
              <w:widowControl/>
              <w:jc w:val="center"/>
              <w:rPr>
                <w:rFonts w:hint="eastAsia" w:ascii="Calibri" w:hAnsi="宋体"/>
                <w:sz w:val="18"/>
                <w:szCs w:val="18"/>
                <w:lang w:eastAsia="en-US"/>
              </w:rPr>
            </w:pPr>
            <w:r>
              <w:rPr>
                <w:rFonts w:hint="eastAsia" w:ascii="Calibri" w:hAnsi="宋体"/>
                <w:sz w:val="18"/>
                <w:szCs w:val="18"/>
                <w:lang w:eastAsia="en-US"/>
              </w:rPr>
              <w:t>100</w:t>
            </w:r>
          </w:p>
        </w:tc>
        <w:tc>
          <w:tcPr>
            <w:tcW w:w="584" w:type="pct"/>
            <w:shd w:val="clear" w:color="auto" w:fill="auto"/>
            <w:vAlign w:val="center"/>
          </w:tcPr>
          <w:p w14:paraId="2DC9AB1A">
            <w:pPr>
              <w:widowControl/>
              <w:jc w:val="center"/>
              <w:rPr>
                <w:rFonts w:hint="eastAsia" w:ascii="Calibri" w:hAnsi="宋体"/>
                <w:sz w:val="18"/>
                <w:szCs w:val="18"/>
                <w:lang w:eastAsia="en-US"/>
              </w:rPr>
            </w:pPr>
            <w:r>
              <w:rPr>
                <w:rFonts w:hint="eastAsia" w:ascii="Calibri" w:hAnsi="宋体"/>
                <w:sz w:val="18"/>
                <w:szCs w:val="18"/>
                <w:lang w:eastAsia="en-US"/>
              </w:rPr>
              <w:t>100</w:t>
            </w:r>
          </w:p>
        </w:tc>
        <w:tc>
          <w:tcPr>
            <w:tcW w:w="585" w:type="pct"/>
            <w:shd w:val="clear" w:color="auto" w:fill="auto"/>
            <w:vAlign w:val="center"/>
          </w:tcPr>
          <w:p w14:paraId="2CB5D55F">
            <w:pPr>
              <w:widowControl/>
              <w:jc w:val="center"/>
              <w:rPr>
                <w:rFonts w:hint="eastAsia" w:ascii="Calibri" w:hAnsi="宋体"/>
                <w:sz w:val="18"/>
                <w:szCs w:val="18"/>
                <w:lang w:eastAsia="en-US"/>
              </w:rPr>
            </w:pPr>
            <w:r>
              <w:rPr>
                <w:rFonts w:hint="eastAsia" w:ascii="Calibri" w:hAnsi="宋体"/>
                <w:sz w:val="18"/>
                <w:szCs w:val="18"/>
                <w:lang w:eastAsia="en-US"/>
              </w:rPr>
              <w:t>100</w:t>
            </w:r>
          </w:p>
        </w:tc>
        <w:tc>
          <w:tcPr>
            <w:tcW w:w="586" w:type="pct"/>
          </w:tcPr>
          <w:p w14:paraId="56C75795">
            <w:pPr>
              <w:widowControl/>
              <w:jc w:val="center"/>
              <w:rPr>
                <w:rFonts w:hint="eastAsia" w:ascii="Calibri" w:hAnsi="宋体"/>
                <w:sz w:val="18"/>
                <w:szCs w:val="18"/>
                <w:lang w:eastAsia="en-US"/>
              </w:rPr>
            </w:pPr>
            <w:r>
              <w:rPr>
                <w:rFonts w:hint="eastAsia" w:ascii="Calibri" w:hAnsi="宋体"/>
                <w:sz w:val="18"/>
                <w:szCs w:val="18"/>
                <w:lang w:eastAsia="en-US"/>
              </w:rPr>
              <w:t>0</w:t>
            </w:r>
          </w:p>
        </w:tc>
      </w:tr>
      <w:tr w14:paraId="59888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260" w:type="pct"/>
            <w:shd w:val="clear" w:color="auto" w:fill="auto"/>
            <w:vAlign w:val="center"/>
          </w:tcPr>
          <w:p w14:paraId="651552E5">
            <w:pPr>
              <w:widowControl/>
              <w:jc w:val="center"/>
              <w:rPr>
                <w:rFonts w:hint="eastAsia" w:ascii="Calibri" w:hAnsi="宋体"/>
                <w:sz w:val="18"/>
                <w:szCs w:val="18"/>
                <w:lang w:eastAsia="en-US"/>
              </w:rPr>
            </w:pPr>
            <w:r>
              <w:rPr>
                <w:rFonts w:hint="eastAsia" w:ascii="Calibri" w:hAnsi="宋体"/>
                <w:sz w:val="18"/>
                <w:szCs w:val="18"/>
                <w:lang w:eastAsia="en-US"/>
              </w:rPr>
              <w:t>12</w:t>
            </w:r>
          </w:p>
        </w:tc>
        <w:tc>
          <w:tcPr>
            <w:tcW w:w="907" w:type="pct"/>
            <w:shd w:val="clear" w:color="auto" w:fill="auto"/>
            <w:vAlign w:val="center"/>
          </w:tcPr>
          <w:p w14:paraId="7E1A0A62">
            <w:pPr>
              <w:widowControl/>
              <w:jc w:val="center"/>
              <w:rPr>
                <w:rFonts w:hint="eastAsia" w:ascii="Calibri" w:hAnsi="宋体"/>
                <w:sz w:val="18"/>
                <w:szCs w:val="18"/>
                <w:lang w:eastAsia="en-US"/>
              </w:rPr>
            </w:pPr>
            <w:r>
              <w:rPr>
                <w:rFonts w:hint="eastAsia" w:ascii="Calibri" w:hAnsi="宋体"/>
                <w:sz w:val="18"/>
                <w:szCs w:val="18"/>
                <w:lang w:eastAsia="en-US"/>
              </w:rPr>
              <w:t>钉子</w:t>
            </w:r>
          </w:p>
        </w:tc>
        <w:tc>
          <w:tcPr>
            <w:tcW w:w="905" w:type="pct"/>
            <w:vAlign w:val="center"/>
          </w:tcPr>
          <w:p w14:paraId="480D40B8">
            <w:pPr>
              <w:widowControl/>
              <w:jc w:val="center"/>
              <w:rPr>
                <w:rFonts w:hint="eastAsia" w:ascii="Calibri" w:hAnsi="宋体"/>
                <w:sz w:val="18"/>
                <w:szCs w:val="18"/>
                <w:lang w:eastAsia="en-US"/>
              </w:rPr>
            </w:pPr>
            <w:r>
              <w:rPr>
                <w:rFonts w:hint="eastAsia" w:ascii="Calibri" w:hAnsi="宋体"/>
                <w:sz w:val="18"/>
                <w:szCs w:val="18"/>
                <w:lang w:eastAsia="en-US"/>
              </w:rPr>
              <w:t>30KG/袋</w:t>
            </w:r>
          </w:p>
        </w:tc>
        <w:tc>
          <w:tcPr>
            <w:tcW w:w="584" w:type="pct"/>
            <w:shd w:val="clear" w:color="auto" w:fill="auto"/>
            <w:vAlign w:val="center"/>
          </w:tcPr>
          <w:p w14:paraId="3F78BB12">
            <w:pPr>
              <w:widowControl/>
              <w:jc w:val="center"/>
              <w:rPr>
                <w:rFonts w:hint="eastAsia" w:ascii="Calibri" w:hAnsi="宋体"/>
                <w:sz w:val="18"/>
                <w:szCs w:val="18"/>
                <w:lang w:eastAsia="en-US"/>
              </w:rPr>
            </w:pPr>
            <w:r>
              <w:rPr>
                <w:rFonts w:hint="eastAsia" w:ascii="Calibri" w:hAnsi="宋体"/>
                <w:sz w:val="18"/>
                <w:szCs w:val="18"/>
                <w:lang w:eastAsia="en-US"/>
              </w:rPr>
              <w:t>t/a</w:t>
            </w:r>
          </w:p>
        </w:tc>
        <w:tc>
          <w:tcPr>
            <w:tcW w:w="584" w:type="pct"/>
            <w:shd w:val="clear" w:color="auto" w:fill="auto"/>
            <w:vAlign w:val="center"/>
          </w:tcPr>
          <w:p w14:paraId="15AD6E6B">
            <w:pPr>
              <w:widowControl/>
              <w:jc w:val="center"/>
              <w:rPr>
                <w:rFonts w:hint="eastAsia" w:ascii="Calibri" w:hAnsi="宋体"/>
                <w:sz w:val="18"/>
                <w:szCs w:val="18"/>
                <w:lang w:eastAsia="en-US"/>
              </w:rPr>
            </w:pPr>
            <w:r>
              <w:rPr>
                <w:rFonts w:hint="eastAsia" w:ascii="Calibri" w:hAnsi="宋体"/>
                <w:sz w:val="18"/>
                <w:szCs w:val="18"/>
                <w:lang w:eastAsia="en-US"/>
              </w:rPr>
              <w:t>5</w:t>
            </w:r>
          </w:p>
        </w:tc>
        <w:tc>
          <w:tcPr>
            <w:tcW w:w="584" w:type="pct"/>
            <w:shd w:val="clear" w:color="auto" w:fill="auto"/>
            <w:vAlign w:val="center"/>
          </w:tcPr>
          <w:p w14:paraId="3971C049">
            <w:pPr>
              <w:widowControl/>
              <w:jc w:val="center"/>
              <w:rPr>
                <w:rFonts w:hint="eastAsia" w:ascii="Calibri" w:hAnsi="宋体"/>
                <w:sz w:val="18"/>
                <w:szCs w:val="18"/>
                <w:lang w:eastAsia="en-US"/>
              </w:rPr>
            </w:pPr>
            <w:r>
              <w:rPr>
                <w:rFonts w:hint="eastAsia" w:ascii="Calibri" w:hAnsi="宋体"/>
                <w:sz w:val="18"/>
                <w:szCs w:val="18"/>
                <w:lang w:eastAsia="en-US"/>
              </w:rPr>
              <w:t>5</w:t>
            </w:r>
          </w:p>
        </w:tc>
        <w:tc>
          <w:tcPr>
            <w:tcW w:w="585" w:type="pct"/>
            <w:shd w:val="clear" w:color="auto" w:fill="auto"/>
            <w:vAlign w:val="center"/>
          </w:tcPr>
          <w:p w14:paraId="5BEA79F3">
            <w:pPr>
              <w:widowControl/>
              <w:jc w:val="center"/>
              <w:rPr>
                <w:rFonts w:hint="eastAsia" w:ascii="Calibri" w:hAnsi="宋体"/>
                <w:sz w:val="18"/>
                <w:szCs w:val="18"/>
                <w:lang w:eastAsia="en-US"/>
              </w:rPr>
            </w:pPr>
            <w:r>
              <w:rPr>
                <w:rFonts w:hint="eastAsia" w:ascii="Calibri" w:hAnsi="宋体"/>
                <w:sz w:val="18"/>
                <w:szCs w:val="18"/>
                <w:lang w:eastAsia="en-US"/>
              </w:rPr>
              <w:t>5</w:t>
            </w:r>
          </w:p>
        </w:tc>
        <w:tc>
          <w:tcPr>
            <w:tcW w:w="586" w:type="pct"/>
          </w:tcPr>
          <w:p w14:paraId="4D55396A">
            <w:pPr>
              <w:widowControl/>
              <w:jc w:val="center"/>
              <w:rPr>
                <w:rFonts w:hint="eastAsia" w:ascii="Calibri" w:hAnsi="宋体"/>
                <w:sz w:val="18"/>
                <w:szCs w:val="18"/>
                <w:lang w:eastAsia="en-US"/>
              </w:rPr>
            </w:pPr>
            <w:r>
              <w:rPr>
                <w:rFonts w:hint="eastAsia" w:ascii="Calibri" w:hAnsi="宋体"/>
                <w:sz w:val="18"/>
                <w:szCs w:val="18"/>
                <w:lang w:eastAsia="en-US"/>
              </w:rPr>
              <w:t>0</w:t>
            </w:r>
          </w:p>
        </w:tc>
      </w:tr>
    </w:tbl>
    <w:p w14:paraId="656532FD">
      <w:pPr>
        <w:pStyle w:val="122"/>
        <w:ind w:firstLine="0" w:firstLineChars="0"/>
        <w:outlineLvl w:val="2"/>
        <w:rPr>
          <w:b/>
        </w:rPr>
      </w:pPr>
      <w:r>
        <w:rPr>
          <w:rFonts w:hint="eastAsia"/>
          <w:b/>
        </w:rPr>
        <w:t>1</w:t>
      </w:r>
      <w:r>
        <w:rPr>
          <w:b/>
        </w:rPr>
        <w:t>.4</w:t>
      </w:r>
      <w:r>
        <w:rPr>
          <w:rFonts w:hint="eastAsia"/>
          <w:b/>
        </w:rPr>
        <w:t>主要生产设备</w:t>
      </w:r>
    </w:p>
    <w:p w14:paraId="766209FF">
      <w:pPr>
        <w:pStyle w:val="122"/>
        <w:ind w:firstLine="480"/>
        <w:rPr>
          <w:b/>
        </w:rPr>
      </w:pPr>
      <w:bookmarkStart w:id="24" w:name="_Hlk156825366"/>
      <w:r>
        <w:rPr>
          <w:rFonts w:hint="eastAsia"/>
        </w:rPr>
        <w:t>本次项目为迁建项目，大部分生产设备由现有设备搬迁而来，为满足本项目新增宠物家具产品的工艺需求，将新购置一部分设备，本项目生产设备见下表</w:t>
      </w:r>
      <w:r>
        <w:t>。</w:t>
      </w:r>
    </w:p>
    <w:p w14:paraId="2A265FAB">
      <w:pPr>
        <w:pStyle w:val="116"/>
        <w:numPr>
          <w:ilvl w:val="0"/>
          <w:numId w:val="22"/>
        </w:numPr>
        <w:spacing w:before="0" w:beforeLines="0"/>
        <w:ind w:left="0"/>
      </w:pPr>
      <w:r>
        <w:rPr>
          <w:rFonts w:hint="eastAsia"/>
        </w:rPr>
        <w:t>本项目主要设备一览表</w:t>
      </w:r>
    </w:p>
    <w:bookmarkEnd w:id="24"/>
    <w:tbl>
      <w:tblPr>
        <w:tblStyle w:val="88"/>
        <w:tblW w:w="4997" w:type="pct"/>
        <w:jc w:val="center"/>
        <w:tblLayout w:type="autofit"/>
        <w:tblCellMar>
          <w:top w:w="0" w:type="dxa"/>
          <w:left w:w="108" w:type="dxa"/>
          <w:bottom w:w="0" w:type="dxa"/>
          <w:right w:w="108" w:type="dxa"/>
        </w:tblCellMar>
      </w:tblPr>
      <w:tblGrid>
        <w:gridCol w:w="472"/>
        <w:gridCol w:w="1173"/>
        <w:gridCol w:w="1853"/>
        <w:gridCol w:w="732"/>
        <w:gridCol w:w="771"/>
        <w:gridCol w:w="949"/>
        <w:gridCol w:w="881"/>
        <w:gridCol w:w="1160"/>
        <w:gridCol w:w="1761"/>
      </w:tblGrid>
      <w:tr w14:paraId="3A8D403F">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D30E97B">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60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79DCA9">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设备名称</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177D97">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设备规格</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133C72">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lang w:val="en-US" w:eastAsia="zh-CN"/>
              </w:rPr>
              <w:t>原审批</w:t>
            </w:r>
            <w:r>
              <w:rPr>
                <w:rFonts w:hint="default" w:ascii="Times New Roman" w:hAnsi="Times New Roman" w:cs="Times New Roman"/>
                <w:kern w:val="0"/>
                <w:sz w:val="18"/>
                <w:szCs w:val="18"/>
              </w:rPr>
              <w:t>设备数量</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2E7C2">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本次新增设备数量</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81F18B">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依托设备数量</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C22D6">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项目建成后全厂设备数量</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065F27">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依托情况</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B7D21F9">
            <w:pPr>
              <w:adjustRightInd w:val="0"/>
              <w:snapToGrid w:val="0"/>
              <w:jc w:val="center"/>
              <w:textAlignment w:val="baseline"/>
              <w:rPr>
                <w:rFonts w:hint="default" w:ascii="Times New Roman" w:hAnsi="Times New Roman" w:cs="Times New Roman"/>
                <w:kern w:val="0"/>
                <w:sz w:val="18"/>
                <w:szCs w:val="18"/>
              </w:rPr>
            </w:pPr>
            <w:r>
              <w:rPr>
                <w:rFonts w:hint="default" w:ascii="Times New Roman" w:hAnsi="Times New Roman" w:cs="Times New Roman"/>
                <w:kern w:val="0"/>
                <w:sz w:val="18"/>
                <w:szCs w:val="18"/>
              </w:rPr>
              <w:t>较原审批增减量</w:t>
            </w:r>
          </w:p>
        </w:tc>
      </w:tr>
      <w:tr w14:paraId="03C0540F">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7E6953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7412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平刨</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D06FD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MBL503</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8AB39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3</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191DA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22E3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3921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3B85E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4E8C9F1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r>
      <w:tr w14:paraId="387E383B">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4656BF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C86A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压刨</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B0227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MB104EM</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F681E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E2F89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68ED5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64F22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CBDCF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77E8C94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3156BF4A">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D3FF31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DBA6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立式双轴铣床</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0A24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MX5317</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C4133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7</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215E0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20E57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11006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8E704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6B76383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w:t>
            </w:r>
          </w:p>
        </w:tc>
      </w:tr>
      <w:tr w14:paraId="7AA127F9">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7F54DB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4</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3BC3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立式单轴木工镂铣机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DD40F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MXS5115A</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48C6E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0255F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9CA3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BF6AC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018B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3341B3F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16336A10">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13876C3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FAEC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精密推台锯</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BAE4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MJ6132</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F113F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78E0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3044D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CE8D1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E134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2BA5E44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28262731">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D789B5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w:t>
            </w:r>
          </w:p>
        </w:tc>
        <w:tc>
          <w:tcPr>
            <w:tcW w:w="60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ED176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小带锯</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40453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MJ346A</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A885D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4644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26B38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C3334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1CBD9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7BA29B2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-5</w:t>
            </w:r>
          </w:p>
        </w:tc>
      </w:tr>
      <w:tr w14:paraId="3DB3E5CE">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ABA535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C614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单头直榫开榫机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F1DC8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MD2108B</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CD133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17</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6651A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579AD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DBC06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38A06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7F6E18A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-16</w:t>
            </w:r>
          </w:p>
        </w:tc>
      </w:tr>
      <w:tr w14:paraId="2CA176D5">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983D97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B7F7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打眼机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1B156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MS362</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95665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83482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74F83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63E27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6B3E1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0C3A1E1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r>
      <w:tr w14:paraId="001D212D">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958836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4C3F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小排钻</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3ED7A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CF405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E3058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578B9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931C9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0A48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5B05947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128D66F7">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88E789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10</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4158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万能磨刀机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2F78D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MF2718</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AA2BB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5BDF4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90771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3562D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98BFE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1A06D10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107DAC4D">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5B3C36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C570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砂轮机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249D0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83971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8F8D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7F50F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52973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3356F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7C9C3A8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2D1DE988">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047D16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A191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台式砂光机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DDB6F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E06C2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A2F3B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6D30A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F0BA9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6E51F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2B4C672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6C4FFF2C">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F94E03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BA28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数控制榫机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CEDED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MDK3113B</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48217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39949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058EE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873B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A6897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44F4543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059B1EF1">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3FD2D7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14</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669C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卧室双端海绵砂光机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50B81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D4C39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5F8E6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E7FC5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C9381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20EE9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5F6D77D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3FF3A96A">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AFEC0F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EA80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面漆喷房</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0B7C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6m×4.2m×2m</w:t>
            </w:r>
          </w:p>
          <w:p w14:paraId="74FB924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喷枪2把</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C06FD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8EF1B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DB707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774D0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5C2B0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车间内新建</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3BEAF63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5D8101C2">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1B72BC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16</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6B30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底漆喷房</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9DD09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6m×4.2m×2m</w:t>
            </w:r>
          </w:p>
          <w:p w14:paraId="5D4F98D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喷枪2把</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DEEF8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990D9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B9FD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EEAB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3692C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车间内新建</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4EA9A73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2993B068">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92D5754">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C01E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晾干房</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86B2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8.7m×8.4m×2m</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62440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D8881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EA12E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E4107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D3AC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车间内新建</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B543C2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5A7A47F5">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B85F42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18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0B5F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干式脉冲打磨柜</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D466C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DA0A3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8D8C0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D96C4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6676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20F1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0EA45C3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r w14:paraId="2CCF8337">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8665BC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19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88FA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仿形木工车床</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33353B">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MCJ3040</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CA943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1B2BE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832DA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DF910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7F1DC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BC19FE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033CDF89">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56AB9A20">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20</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C6ED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断料机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4C76F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99657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FC1F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10918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7BDCB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13C7F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4B66D8E7">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7FFEC431">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20B093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21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D522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单片纵锯机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0B1C4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MJ153</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88B0DF">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7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DCCB1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94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3DBB1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8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905CB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0EC4FD">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B16BF2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6DF22E06">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467091C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22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AC96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卧式双端榫槽机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C272D2">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2B7F06">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w:t>
            </w:r>
          </w:p>
        </w:tc>
        <w:tc>
          <w:tcPr>
            <w:tcW w:w="7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3F45D3">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94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2627B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8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E551CE">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D3EB5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现有设备搬迁</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11D635F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r>
      <w:tr w14:paraId="696C2D7A">
        <w:tblPrEx>
          <w:tblCellMar>
            <w:top w:w="0" w:type="dxa"/>
            <w:left w:w="108" w:type="dxa"/>
            <w:bottom w:w="0" w:type="dxa"/>
            <w:right w:w="108" w:type="dxa"/>
          </w:tblCellMar>
        </w:tblPrEx>
        <w:trPr>
          <w:jc w:val="center"/>
        </w:trPr>
        <w:tc>
          <w:tcPr>
            <w:tcW w:w="242" w:type="pct"/>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EA4D60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eastAsia" w:eastAsia="宋体" w:cs="Times New Roman"/>
                <w:kern w:val="0"/>
                <w:sz w:val="18"/>
                <w:szCs w:val="18"/>
                <w:lang w:val="en-US" w:eastAsia="zh-CN"/>
              </w:rPr>
              <w:t>23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7A9B8">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小型磨刀机</w:t>
            </w:r>
          </w:p>
        </w:tc>
        <w:tc>
          <w:tcPr>
            <w:tcW w:w="94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2FFB1C">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471251">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3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5EA4B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C0855">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0</w:t>
            </w:r>
          </w:p>
        </w:tc>
        <w:tc>
          <w:tcPr>
            <w:tcW w:w="45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DBB1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c>
          <w:tcPr>
            <w:tcW w:w="5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D1B79A">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新购设备</w:t>
            </w:r>
          </w:p>
        </w:tc>
        <w:tc>
          <w:tcPr>
            <w:tcW w:w="902"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F8E1A79">
            <w:pPr>
              <w:adjustRightInd w:val="0"/>
              <w:snapToGrid w:val="0"/>
              <w:jc w:val="center"/>
              <w:textAlignment w:val="baseline"/>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+1</w:t>
            </w:r>
          </w:p>
        </w:tc>
      </w:tr>
    </w:tbl>
    <w:p w14:paraId="21E34745">
      <w:pPr>
        <w:pStyle w:val="116"/>
        <w:numPr>
          <w:ilvl w:val="0"/>
          <w:numId w:val="22"/>
        </w:numPr>
        <w:spacing w:before="0" w:beforeLines="0"/>
        <w:ind w:left="0"/>
      </w:pPr>
      <w:r>
        <w:br w:type="page"/>
      </w:r>
    </w:p>
    <w:p w14:paraId="2731F277">
      <w:pPr>
        <w:pStyle w:val="122"/>
        <w:ind w:firstLine="0" w:firstLineChars="0"/>
        <w:outlineLvl w:val="2"/>
        <w:rPr>
          <w:b/>
        </w:rPr>
      </w:pPr>
      <w:r>
        <w:rPr>
          <w:rFonts w:hint="eastAsia"/>
          <w:b/>
        </w:rPr>
        <w:t>1</w:t>
      </w:r>
      <w:r>
        <w:rPr>
          <w:b/>
        </w:rPr>
        <w:t>.5</w:t>
      </w:r>
      <w:r>
        <w:rPr>
          <w:rFonts w:hint="eastAsia"/>
          <w:b/>
        </w:rPr>
        <w:t>生产工艺</w:t>
      </w:r>
    </w:p>
    <w:p w14:paraId="422F9540">
      <w:pPr>
        <w:autoSpaceDE w:val="0"/>
        <w:autoSpaceDN w:val="0"/>
        <w:adjustRightInd w:val="0"/>
        <w:spacing w:line="360" w:lineRule="auto"/>
        <w:jc w:val="center"/>
      </w:pPr>
      <w:r>
        <w:rPr>
          <w:rFonts w:hint="eastAsia"/>
        </w:rPr>
        <w:drawing>
          <wp:inline distT="0" distB="0" distL="114300" distR="114300">
            <wp:extent cx="6049010" cy="6817995"/>
            <wp:effectExtent l="0" t="0" r="0" b="0"/>
            <wp:docPr id="21" name="图片 21" descr="家具、宠物家具工艺流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家具、宠物家具工艺流程(1)"/>
                    <pic:cNvPicPr>
                      <a:picLocks noChangeAspect="1"/>
                    </pic:cNvPicPr>
                  </pic:nvPicPr>
                  <pic:blipFill>
                    <a:blip r:embed="rId15"/>
                    <a:stretch>
                      <a:fillRect/>
                    </a:stretch>
                  </pic:blipFill>
                  <pic:spPr>
                    <a:xfrm>
                      <a:off x="0" y="0"/>
                      <a:ext cx="6049010" cy="6817995"/>
                    </a:xfrm>
                    <a:prstGeom prst="rect">
                      <a:avLst/>
                    </a:prstGeom>
                  </pic:spPr>
                </pic:pic>
              </a:graphicData>
            </a:graphic>
          </wp:inline>
        </w:drawing>
      </w:r>
    </w:p>
    <w:p w14:paraId="367D7FCF">
      <w:pPr>
        <w:pStyle w:val="45"/>
        <w:adjustRightInd w:val="0"/>
        <w:snapToGrid w:val="0"/>
        <w:spacing w:line="360" w:lineRule="auto"/>
        <w:rPr>
          <w:rFonts w:ascii="Times New Roman" w:hAnsi="Times New Roman"/>
          <w:b/>
          <w:sz w:val="24"/>
          <w:szCs w:val="24"/>
        </w:rPr>
      </w:pPr>
      <w:r>
        <w:rPr>
          <w:rFonts w:hint="eastAsia" w:ascii="Times New Roman" w:hAnsi="Times New Roman"/>
          <w:b/>
          <w:sz w:val="24"/>
          <w:szCs w:val="24"/>
        </w:rPr>
        <w:t>图1</w:t>
      </w:r>
      <w:r>
        <w:rPr>
          <w:rFonts w:ascii="Times New Roman" w:hAnsi="Times New Roman"/>
          <w:b/>
          <w:sz w:val="24"/>
          <w:szCs w:val="24"/>
        </w:rPr>
        <w:t xml:space="preserve">  </w:t>
      </w:r>
      <w:r>
        <w:rPr>
          <w:rFonts w:hint="eastAsia" w:ascii="Times New Roman" w:hAnsi="Times New Roman"/>
          <w:b/>
          <w:sz w:val="24"/>
          <w:szCs w:val="24"/>
        </w:rPr>
        <w:t>工艺流程图</w:t>
      </w:r>
    </w:p>
    <w:p w14:paraId="079CED96">
      <w:pPr>
        <w:pStyle w:val="122"/>
        <w:adjustRightInd w:val="0"/>
        <w:snapToGrid w:val="0"/>
        <w:ind w:firstLine="482"/>
        <w:rPr>
          <w:b/>
        </w:rPr>
      </w:pPr>
      <w:r>
        <w:rPr>
          <w:rFonts w:hint="eastAsia"/>
          <w:b/>
        </w:rPr>
        <w:t>工艺说明：</w:t>
      </w:r>
    </w:p>
    <w:p w14:paraId="2A534E9D">
      <w:pPr>
        <w:pStyle w:val="122"/>
        <w:ind w:firstLine="480"/>
      </w:pPr>
      <w:r>
        <w:rPr>
          <w:rFonts w:hint="eastAsia"/>
        </w:rPr>
        <w:t>本项目迁建完成产品为家具、宠物家具、餐椅，工艺流程基本一致，餐椅生产过程中不涉及“喷漆、干燥”工序，具体工艺描述如下：</w:t>
      </w:r>
    </w:p>
    <w:p w14:paraId="58FB9C93">
      <w:pPr>
        <w:pStyle w:val="122"/>
        <w:ind w:firstLine="482"/>
      </w:pPr>
      <w:r>
        <w:rPr>
          <w:rFonts w:hint="eastAsia"/>
          <w:b/>
          <w:bCs/>
        </w:rPr>
        <w:t>下料：</w:t>
      </w:r>
      <w:r>
        <w:rPr>
          <w:rFonts w:hint="eastAsia"/>
        </w:rPr>
        <w:t>选取橡木、多层板等优质木材作为原料，根据家具设计的尺寸规格，使用锯床等切割设备将原料切割成合适的板材和部件。此过程中，木材被切割会产生G1下料粉尘，同时会产生S1边角料。</w:t>
      </w:r>
    </w:p>
    <w:p w14:paraId="47B28E71">
      <w:pPr>
        <w:pStyle w:val="122"/>
        <w:ind w:firstLine="482"/>
      </w:pPr>
      <w:r>
        <w:rPr>
          <w:rFonts w:hint="eastAsia"/>
          <w:b/>
          <w:bCs/>
        </w:rPr>
        <w:t>板材加工：</w:t>
      </w:r>
      <w:r>
        <w:rPr>
          <w:rFonts w:hint="eastAsia"/>
        </w:rPr>
        <w:t xml:space="preserve">将切割好的板材进行进一步加工，如刨平、砂光等处理，使其表面光滑平整并且根据客户需求加工成需要的外型，符合后续工序的要求。在这些操作中，会产生G2木制粉尘。 </w:t>
      </w:r>
    </w:p>
    <w:p w14:paraId="280F5321">
      <w:pPr>
        <w:pStyle w:val="122"/>
        <w:ind w:firstLine="482"/>
      </w:pPr>
      <w:r>
        <w:rPr>
          <w:rFonts w:hint="eastAsia"/>
          <w:b/>
          <w:bCs/>
        </w:rPr>
        <w:t>封边、打孔及组装：</w:t>
      </w:r>
      <w:r>
        <w:rPr>
          <w:rFonts w:hint="eastAsia"/>
        </w:rPr>
        <w:t xml:space="preserve">运用封边机为板材边缘封边，以保护板材并增加美观度；使用打孔设备在指定位置打孔，方便后续组装。同时，加入白胶或热熔胶和钉子，通过胶合和钉接的方式，将各个部件组装成家具的基本框架结构，此环节会产生G3木制粉尘，使用白胶进行胶合的会产生G4胶水废气。 </w:t>
      </w:r>
    </w:p>
    <w:p w14:paraId="6EF4D6CD">
      <w:pPr>
        <w:pStyle w:val="122"/>
        <w:ind w:firstLine="482"/>
      </w:pPr>
      <w:r>
        <w:rPr>
          <w:rFonts w:hint="eastAsia"/>
          <w:b/>
          <w:bCs/>
        </w:rPr>
        <w:t>喷漆与干燥（仅家具、宠物家具生产）：</w:t>
      </w:r>
      <w:r>
        <w:rPr>
          <w:rFonts w:hint="eastAsia"/>
        </w:rPr>
        <w:t>选用水性漆，工人手持喷枪，将调配好的涂料均匀地喷涂在工件表面。喷枪与工件的距离、喷涂角度以及移动速度等都需要严格控制，一般喷枪与工件保持 20 - 30 厘米的距离，喷涂角度尽量垂直于工件表面，移动速度约为 30 - 60 厘米 / 秒，确保涂层均匀、无流挂、无漏喷，赋予家具所需的颜色和表面效果。喷完漆后，将家具放置在干燥房或使用烘干设备进行干燥处理，使漆膜快速固化。每次喷漆作业完成后，喷枪</w:t>
      </w:r>
      <w:r>
        <w:rPr>
          <w:rFonts w:hint="eastAsia"/>
          <w:lang w:val="en-US" w:eastAsia="zh-CN"/>
        </w:rPr>
        <w:t>需进行</w:t>
      </w:r>
      <w:r>
        <w:rPr>
          <w:rFonts w:hint="eastAsia"/>
        </w:rPr>
        <w:t>清洗，以防止涂料干结堵塞喷枪。清洗过程如下：首先，将喷枪内剩余的</w:t>
      </w:r>
      <w:r>
        <w:rPr>
          <w:rFonts w:hint="eastAsia"/>
          <w:lang w:val="en-US" w:eastAsia="zh-CN"/>
        </w:rPr>
        <w:t>水性漆</w:t>
      </w:r>
      <w:r>
        <w:rPr>
          <w:rFonts w:hint="eastAsia"/>
        </w:rPr>
        <w:t>倒回</w:t>
      </w:r>
      <w:r>
        <w:rPr>
          <w:rFonts w:hint="eastAsia"/>
          <w:lang w:val="en-US" w:eastAsia="zh-CN"/>
        </w:rPr>
        <w:t>原料</w:t>
      </w:r>
      <w:r>
        <w:rPr>
          <w:rFonts w:hint="eastAsia"/>
        </w:rPr>
        <w:t>桶，然后使用清水冲洗干净</w:t>
      </w:r>
      <w:r>
        <w:rPr>
          <w:rFonts w:hint="eastAsia"/>
          <w:lang w:eastAsia="zh-CN"/>
        </w:rPr>
        <w:t>，</w:t>
      </w:r>
      <w:r>
        <w:rPr>
          <w:rFonts w:hint="eastAsia"/>
          <w:lang w:val="en-US" w:eastAsia="zh-CN"/>
        </w:rPr>
        <w:t>并</w:t>
      </w:r>
      <w:r>
        <w:rPr>
          <w:rFonts w:hint="eastAsia"/>
        </w:rPr>
        <w:t>软毛刷轻轻刷洗喷枪各部件，去除附着的涂料，确保喷枪清洁</w:t>
      </w:r>
      <w:r>
        <w:rPr>
          <w:rFonts w:hint="eastAsia"/>
          <w:lang w:eastAsia="zh-CN"/>
        </w:rPr>
        <w:t>，</w:t>
      </w:r>
      <w:r>
        <w:rPr>
          <w:rFonts w:hint="eastAsia"/>
          <w:lang w:val="en-US" w:eastAsia="zh-CN"/>
        </w:rPr>
        <w:t>放至工位自然晾干</w:t>
      </w:r>
      <w:r>
        <w:rPr>
          <w:rFonts w:hint="eastAsia"/>
        </w:rPr>
        <w:t>，以便下次使用</w:t>
      </w:r>
      <w:r>
        <w:rPr>
          <w:rFonts w:hint="eastAsia"/>
          <w:lang w:eastAsia="zh-CN"/>
        </w:rPr>
        <w:t>，</w:t>
      </w:r>
      <w:r>
        <w:rPr>
          <w:rFonts w:hint="eastAsia"/>
          <w:lang w:val="en-US" w:eastAsia="zh-CN"/>
        </w:rPr>
        <w:t>喷枪清洗产生的废水直接倒入水帘柜中</w:t>
      </w:r>
      <w:r>
        <w:rPr>
          <w:rFonts w:hint="eastAsia"/>
          <w:lang w:eastAsia="zh-CN"/>
        </w:rPr>
        <w:t>，</w:t>
      </w:r>
      <w:r>
        <w:rPr>
          <w:rFonts w:hint="eastAsia"/>
          <w:lang w:val="en-US" w:eastAsia="zh-CN"/>
        </w:rPr>
        <w:t>用作水帘清洗补水，与水帘废水一起定期更换排放</w:t>
      </w:r>
      <w:r>
        <w:rPr>
          <w:rFonts w:hint="eastAsia"/>
          <w:lang w:eastAsia="zh-CN"/>
        </w:rPr>
        <w:t>。</w:t>
      </w:r>
      <w:r>
        <w:rPr>
          <w:rFonts w:hint="eastAsia"/>
        </w:rPr>
        <w:t>在这一过程中，会产生W1喷漆房水帘废水</w:t>
      </w:r>
      <w:r>
        <w:rPr>
          <w:rFonts w:hint="eastAsia"/>
          <w:lang w:eastAsia="zh-CN"/>
        </w:rPr>
        <w:t>（</w:t>
      </w:r>
      <w:r>
        <w:rPr>
          <w:rFonts w:hint="eastAsia"/>
          <w:lang w:val="en-US" w:eastAsia="zh-CN"/>
        </w:rPr>
        <w:t>含喷枪清洗废水，污染因子与水帘废水一致</w:t>
      </w:r>
      <w:r>
        <w:rPr>
          <w:rFonts w:hint="eastAsia"/>
          <w:lang w:eastAsia="zh-CN"/>
        </w:rPr>
        <w:t>）</w:t>
      </w:r>
      <w:r>
        <w:rPr>
          <w:rFonts w:hint="eastAsia"/>
        </w:rPr>
        <w:t xml:space="preserve">和G5油漆废气。 </w:t>
      </w:r>
    </w:p>
    <w:p w14:paraId="41E1710E">
      <w:pPr>
        <w:pStyle w:val="122"/>
        <w:ind w:firstLine="482"/>
      </w:pPr>
      <w:r>
        <w:rPr>
          <w:rFonts w:hint="eastAsia"/>
          <w:b/>
          <w:bCs/>
        </w:rPr>
        <w:t>软包：</w:t>
      </w:r>
      <w:r>
        <w:rPr>
          <w:rFonts w:hint="eastAsia"/>
        </w:rPr>
        <w:t>根据设计需求，将布料、皮革等软包材料裁剪成合适的尺寸和形状，通过粘贴、缝合等工艺，将其包覆在家具的相应部位，如沙发的座面、靠背等，提升家具的舒适度和美观度。该步骤会产生S2废布料和S3废皮革。</w:t>
      </w:r>
    </w:p>
    <w:p w14:paraId="00BB0639">
      <w:pPr>
        <w:pStyle w:val="122"/>
        <w:ind w:firstLine="482"/>
      </w:pPr>
      <w:r>
        <w:rPr>
          <w:rFonts w:hint="eastAsia"/>
          <w:b/>
          <w:bCs/>
        </w:rPr>
        <w:t>成品装箱打包：</w:t>
      </w:r>
      <w:r>
        <w:rPr>
          <w:rFonts w:hint="eastAsia"/>
        </w:rPr>
        <w:t>对完成软包的家具进行质量检查，确保无瑕疵后，用包装材料进行包裹，并装箱打包，准备运输和销售。</w:t>
      </w:r>
    </w:p>
    <w:p w14:paraId="21EA6DE9">
      <w:pPr>
        <w:pStyle w:val="122"/>
        <w:ind w:firstLine="0" w:firstLineChars="0"/>
        <w:rPr>
          <w:b/>
        </w:rPr>
      </w:pPr>
      <w:r>
        <w:rPr>
          <w:rFonts w:hint="eastAsia"/>
          <w:b/>
        </w:rPr>
        <w:t>1</w:t>
      </w:r>
      <w:r>
        <w:rPr>
          <w:b/>
        </w:rPr>
        <w:t>.6</w:t>
      </w:r>
      <w:r>
        <w:rPr>
          <w:rFonts w:hint="eastAsia"/>
          <w:b/>
        </w:rPr>
        <w:t>主要产排污分析</w:t>
      </w:r>
    </w:p>
    <w:p w14:paraId="398735C6">
      <w:pPr>
        <w:spacing w:line="360" w:lineRule="auto"/>
        <w:ind w:firstLine="420" w:firstLineChars="200"/>
        <w:rPr>
          <w:bCs/>
        </w:rPr>
      </w:pPr>
      <w:r>
        <w:rPr>
          <w:bCs/>
        </w:rPr>
        <w:t>根据工艺流程可知，项目产污环节及污染因子分析如下：</w:t>
      </w:r>
    </w:p>
    <w:p w14:paraId="1326BFC4">
      <w:pPr>
        <w:pStyle w:val="116"/>
        <w:numPr>
          <w:ilvl w:val="0"/>
          <w:numId w:val="22"/>
        </w:numPr>
        <w:spacing w:before="0" w:beforeLines="0"/>
        <w:ind w:left="0"/>
      </w:pPr>
      <w:r>
        <w:t>项目产污环节及污染因子一览表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81"/>
        <w:gridCol w:w="688"/>
        <w:gridCol w:w="804"/>
        <w:gridCol w:w="3303"/>
        <w:gridCol w:w="2007"/>
        <w:gridCol w:w="2073"/>
      </w:tblGrid>
      <w:tr w14:paraId="6B31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Align w:val="center"/>
          </w:tcPr>
          <w:p w14:paraId="5097814B">
            <w:pPr>
              <w:adjustRightInd w:val="0"/>
              <w:snapToGrid w:val="0"/>
              <w:jc w:val="center"/>
              <w:rPr>
                <w:sz w:val="18"/>
                <w:szCs w:val="18"/>
              </w:rPr>
            </w:pPr>
            <w:r>
              <w:rPr>
                <w:sz w:val="18"/>
                <w:szCs w:val="18"/>
              </w:rPr>
              <w:t>影响因素类型</w:t>
            </w:r>
          </w:p>
        </w:tc>
        <w:tc>
          <w:tcPr>
            <w:tcW w:w="356" w:type="pct"/>
            <w:vAlign w:val="center"/>
          </w:tcPr>
          <w:p w14:paraId="5F47F1D6">
            <w:pPr>
              <w:adjustRightInd w:val="0"/>
              <w:snapToGrid w:val="0"/>
              <w:jc w:val="center"/>
              <w:rPr>
                <w:sz w:val="18"/>
                <w:szCs w:val="18"/>
              </w:rPr>
            </w:pPr>
            <w:r>
              <w:rPr>
                <w:sz w:val="18"/>
                <w:szCs w:val="18"/>
              </w:rPr>
              <w:t>污染</w:t>
            </w:r>
            <w:r>
              <w:rPr>
                <w:rFonts w:hint="eastAsia"/>
                <w:sz w:val="18"/>
                <w:szCs w:val="18"/>
              </w:rPr>
              <w:t>类型</w:t>
            </w:r>
          </w:p>
        </w:tc>
        <w:tc>
          <w:tcPr>
            <w:tcW w:w="416" w:type="pct"/>
            <w:vAlign w:val="center"/>
          </w:tcPr>
          <w:p w14:paraId="6615858B">
            <w:pPr>
              <w:adjustRightInd w:val="0"/>
              <w:snapToGrid w:val="0"/>
              <w:jc w:val="center"/>
              <w:rPr>
                <w:sz w:val="18"/>
                <w:szCs w:val="18"/>
              </w:rPr>
            </w:pPr>
            <w:r>
              <w:rPr>
                <w:sz w:val="18"/>
                <w:szCs w:val="18"/>
              </w:rPr>
              <w:t>编号</w:t>
            </w:r>
          </w:p>
        </w:tc>
        <w:tc>
          <w:tcPr>
            <w:tcW w:w="1710" w:type="pct"/>
            <w:vAlign w:val="center"/>
          </w:tcPr>
          <w:p w14:paraId="62B1076D">
            <w:pPr>
              <w:adjustRightInd w:val="0"/>
              <w:snapToGrid w:val="0"/>
              <w:jc w:val="center"/>
              <w:rPr>
                <w:sz w:val="18"/>
                <w:szCs w:val="18"/>
              </w:rPr>
            </w:pPr>
            <w:r>
              <w:rPr>
                <w:sz w:val="18"/>
                <w:szCs w:val="18"/>
              </w:rPr>
              <w:t>名称</w:t>
            </w:r>
          </w:p>
        </w:tc>
        <w:tc>
          <w:tcPr>
            <w:tcW w:w="1039" w:type="pct"/>
            <w:vAlign w:val="center"/>
          </w:tcPr>
          <w:p w14:paraId="3C76C9F3">
            <w:pPr>
              <w:adjustRightInd w:val="0"/>
              <w:snapToGrid w:val="0"/>
              <w:jc w:val="center"/>
              <w:rPr>
                <w:sz w:val="18"/>
                <w:szCs w:val="18"/>
              </w:rPr>
            </w:pPr>
            <w:r>
              <w:rPr>
                <w:sz w:val="18"/>
                <w:szCs w:val="18"/>
              </w:rPr>
              <w:t>产生工序</w:t>
            </w:r>
          </w:p>
        </w:tc>
        <w:tc>
          <w:tcPr>
            <w:tcW w:w="1072" w:type="pct"/>
            <w:vAlign w:val="center"/>
          </w:tcPr>
          <w:p w14:paraId="342E3197">
            <w:pPr>
              <w:adjustRightInd w:val="0"/>
              <w:snapToGrid w:val="0"/>
              <w:jc w:val="center"/>
              <w:rPr>
                <w:sz w:val="18"/>
                <w:szCs w:val="18"/>
              </w:rPr>
            </w:pPr>
            <w:r>
              <w:rPr>
                <w:sz w:val="18"/>
                <w:szCs w:val="18"/>
              </w:rPr>
              <w:t>主要污染物</w:t>
            </w:r>
          </w:p>
        </w:tc>
      </w:tr>
      <w:tr w14:paraId="40BA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restart"/>
            <w:vAlign w:val="center"/>
          </w:tcPr>
          <w:p w14:paraId="5B2B39C2">
            <w:pPr>
              <w:adjustRightInd w:val="0"/>
              <w:snapToGrid w:val="0"/>
              <w:jc w:val="center"/>
              <w:rPr>
                <w:sz w:val="18"/>
                <w:szCs w:val="18"/>
              </w:rPr>
            </w:pPr>
            <w:r>
              <w:rPr>
                <w:rFonts w:hint="eastAsia"/>
                <w:sz w:val="18"/>
                <w:szCs w:val="18"/>
              </w:rPr>
              <w:t>污染影响因素</w:t>
            </w:r>
          </w:p>
        </w:tc>
        <w:tc>
          <w:tcPr>
            <w:tcW w:w="356" w:type="pct"/>
            <w:vMerge w:val="restart"/>
            <w:vAlign w:val="center"/>
          </w:tcPr>
          <w:p w14:paraId="2453B998">
            <w:pPr>
              <w:adjustRightInd w:val="0"/>
              <w:snapToGrid w:val="0"/>
              <w:jc w:val="center"/>
              <w:rPr>
                <w:sz w:val="18"/>
                <w:szCs w:val="18"/>
              </w:rPr>
            </w:pPr>
            <w:r>
              <w:rPr>
                <w:rFonts w:hint="eastAsia"/>
                <w:sz w:val="18"/>
                <w:szCs w:val="18"/>
              </w:rPr>
              <w:t>废气</w:t>
            </w:r>
          </w:p>
        </w:tc>
        <w:tc>
          <w:tcPr>
            <w:tcW w:w="416" w:type="pct"/>
            <w:shd w:val="clear" w:color="auto" w:fill="auto"/>
            <w:vAlign w:val="center"/>
          </w:tcPr>
          <w:p w14:paraId="3B03C832">
            <w:pPr>
              <w:adjustRightInd w:val="0"/>
              <w:snapToGrid w:val="0"/>
              <w:jc w:val="center"/>
              <w:rPr>
                <w:sz w:val="18"/>
                <w:szCs w:val="18"/>
              </w:rPr>
            </w:pPr>
            <w:r>
              <w:rPr>
                <w:rFonts w:hint="eastAsia"/>
                <w:sz w:val="18"/>
                <w:szCs w:val="18"/>
              </w:rPr>
              <w:t>G</w:t>
            </w:r>
            <w:r>
              <w:rPr>
                <w:sz w:val="18"/>
                <w:szCs w:val="18"/>
              </w:rPr>
              <w:t>1</w:t>
            </w:r>
          </w:p>
        </w:tc>
        <w:tc>
          <w:tcPr>
            <w:tcW w:w="1710" w:type="pct"/>
            <w:vAlign w:val="center"/>
          </w:tcPr>
          <w:p w14:paraId="1B24070D">
            <w:pPr>
              <w:adjustRightInd w:val="0"/>
              <w:snapToGrid w:val="0"/>
              <w:spacing w:line="240" w:lineRule="atLeast"/>
              <w:jc w:val="center"/>
              <w:rPr>
                <w:sz w:val="18"/>
                <w:szCs w:val="18"/>
              </w:rPr>
            </w:pPr>
            <w:r>
              <w:rPr>
                <w:rFonts w:hint="eastAsia"/>
                <w:sz w:val="18"/>
                <w:szCs w:val="18"/>
              </w:rPr>
              <w:t>下料粉尘</w:t>
            </w:r>
          </w:p>
        </w:tc>
        <w:tc>
          <w:tcPr>
            <w:tcW w:w="1039" w:type="pct"/>
            <w:vAlign w:val="center"/>
          </w:tcPr>
          <w:p w14:paraId="502F2BE1">
            <w:pPr>
              <w:adjustRightInd w:val="0"/>
              <w:snapToGrid w:val="0"/>
              <w:spacing w:line="240" w:lineRule="atLeast"/>
              <w:jc w:val="center"/>
              <w:rPr>
                <w:sz w:val="18"/>
                <w:szCs w:val="18"/>
              </w:rPr>
            </w:pPr>
            <w:r>
              <w:rPr>
                <w:rFonts w:hint="eastAsia"/>
                <w:sz w:val="18"/>
                <w:szCs w:val="18"/>
              </w:rPr>
              <w:t>下料</w:t>
            </w:r>
          </w:p>
        </w:tc>
        <w:tc>
          <w:tcPr>
            <w:tcW w:w="1072" w:type="pct"/>
            <w:vAlign w:val="center"/>
          </w:tcPr>
          <w:p w14:paraId="3CB32C62">
            <w:pPr>
              <w:adjustRightInd w:val="0"/>
              <w:snapToGrid w:val="0"/>
              <w:spacing w:line="240" w:lineRule="atLeast"/>
              <w:jc w:val="center"/>
              <w:rPr>
                <w:sz w:val="18"/>
                <w:szCs w:val="18"/>
              </w:rPr>
            </w:pPr>
            <w:r>
              <w:rPr>
                <w:rFonts w:hint="eastAsia"/>
                <w:sz w:val="18"/>
                <w:szCs w:val="18"/>
              </w:rPr>
              <w:t>颗粒物</w:t>
            </w:r>
          </w:p>
        </w:tc>
      </w:tr>
      <w:tr w14:paraId="46DA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4C67CB33">
            <w:pPr>
              <w:adjustRightInd w:val="0"/>
              <w:snapToGrid w:val="0"/>
              <w:jc w:val="center"/>
              <w:rPr>
                <w:sz w:val="18"/>
                <w:szCs w:val="18"/>
              </w:rPr>
            </w:pPr>
          </w:p>
        </w:tc>
        <w:tc>
          <w:tcPr>
            <w:tcW w:w="356" w:type="pct"/>
            <w:vMerge w:val="continue"/>
            <w:vAlign w:val="center"/>
          </w:tcPr>
          <w:p w14:paraId="44EB4323">
            <w:pPr>
              <w:adjustRightInd w:val="0"/>
              <w:snapToGrid w:val="0"/>
              <w:jc w:val="center"/>
              <w:rPr>
                <w:sz w:val="18"/>
                <w:szCs w:val="18"/>
              </w:rPr>
            </w:pPr>
          </w:p>
        </w:tc>
        <w:tc>
          <w:tcPr>
            <w:tcW w:w="416" w:type="pct"/>
            <w:shd w:val="clear" w:color="auto" w:fill="auto"/>
            <w:vAlign w:val="center"/>
          </w:tcPr>
          <w:p w14:paraId="107B66DE">
            <w:pPr>
              <w:adjustRightInd w:val="0"/>
              <w:snapToGrid w:val="0"/>
              <w:jc w:val="center"/>
              <w:rPr>
                <w:sz w:val="18"/>
                <w:szCs w:val="18"/>
              </w:rPr>
            </w:pPr>
            <w:r>
              <w:rPr>
                <w:rFonts w:hint="eastAsia"/>
                <w:sz w:val="18"/>
                <w:szCs w:val="18"/>
              </w:rPr>
              <w:t>G</w:t>
            </w:r>
            <w:r>
              <w:rPr>
                <w:sz w:val="18"/>
                <w:szCs w:val="18"/>
              </w:rPr>
              <w:t>2</w:t>
            </w:r>
          </w:p>
        </w:tc>
        <w:tc>
          <w:tcPr>
            <w:tcW w:w="1710" w:type="pct"/>
            <w:vAlign w:val="center"/>
          </w:tcPr>
          <w:p w14:paraId="6925FB42">
            <w:pPr>
              <w:adjustRightInd w:val="0"/>
              <w:snapToGrid w:val="0"/>
              <w:spacing w:line="240" w:lineRule="atLeast"/>
              <w:jc w:val="center"/>
              <w:rPr>
                <w:sz w:val="18"/>
                <w:szCs w:val="18"/>
              </w:rPr>
            </w:pPr>
            <w:r>
              <w:rPr>
                <w:rFonts w:hint="eastAsia"/>
                <w:sz w:val="18"/>
                <w:szCs w:val="18"/>
              </w:rPr>
              <w:t>木制粉尘</w:t>
            </w:r>
          </w:p>
        </w:tc>
        <w:tc>
          <w:tcPr>
            <w:tcW w:w="1039" w:type="pct"/>
            <w:vAlign w:val="center"/>
          </w:tcPr>
          <w:p w14:paraId="7124FE0C">
            <w:pPr>
              <w:adjustRightInd w:val="0"/>
              <w:snapToGrid w:val="0"/>
              <w:spacing w:line="240" w:lineRule="atLeast"/>
              <w:jc w:val="center"/>
              <w:rPr>
                <w:sz w:val="18"/>
                <w:szCs w:val="18"/>
              </w:rPr>
            </w:pPr>
            <w:r>
              <w:rPr>
                <w:rFonts w:hint="eastAsia"/>
                <w:sz w:val="18"/>
                <w:szCs w:val="18"/>
              </w:rPr>
              <w:t>板材加工</w:t>
            </w:r>
          </w:p>
        </w:tc>
        <w:tc>
          <w:tcPr>
            <w:tcW w:w="1072" w:type="pct"/>
            <w:vAlign w:val="center"/>
          </w:tcPr>
          <w:p w14:paraId="333301DB">
            <w:pPr>
              <w:adjustRightInd w:val="0"/>
              <w:snapToGrid w:val="0"/>
              <w:spacing w:line="240" w:lineRule="atLeast"/>
              <w:jc w:val="center"/>
              <w:rPr>
                <w:sz w:val="18"/>
                <w:szCs w:val="18"/>
              </w:rPr>
            </w:pPr>
            <w:r>
              <w:rPr>
                <w:rFonts w:hint="eastAsia"/>
                <w:sz w:val="18"/>
                <w:szCs w:val="18"/>
              </w:rPr>
              <w:t>颗粒物</w:t>
            </w:r>
          </w:p>
        </w:tc>
      </w:tr>
      <w:tr w14:paraId="63F6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57BC3251">
            <w:pPr>
              <w:adjustRightInd w:val="0"/>
              <w:snapToGrid w:val="0"/>
              <w:jc w:val="center"/>
              <w:rPr>
                <w:sz w:val="18"/>
                <w:szCs w:val="18"/>
              </w:rPr>
            </w:pPr>
          </w:p>
        </w:tc>
        <w:tc>
          <w:tcPr>
            <w:tcW w:w="356" w:type="pct"/>
            <w:vMerge w:val="continue"/>
            <w:vAlign w:val="center"/>
          </w:tcPr>
          <w:p w14:paraId="69E33B32">
            <w:pPr>
              <w:adjustRightInd w:val="0"/>
              <w:snapToGrid w:val="0"/>
              <w:jc w:val="center"/>
              <w:rPr>
                <w:sz w:val="18"/>
                <w:szCs w:val="18"/>
              </w:rPr>
            </w:pPr>
          </w:p>
        </w:tc>
        <w:tc>
          <w:tcPr>
            <w:tcW w:w="416" w:type="pct"/>
            <w:shd w:val="clear" w:color="auto" w:fill="auto"/>
            <w:vAlign w:val="center"/>
          </w:tcPr>
          <w:p w14:paraId="4D62CAF9">
            <w:pPr>
              <w:adjustRightInd w:val="0"/>
              <w:snapToGrid w:val="0"/>
              <w:jc w:val="center"/>
              <w:rPr>
                <w:sz w:val="18"/>
                <w:szCs w:val="18"/>
              </w:rPr>
            </w:pPr>
            <w:r>
              <w:rPr>
                <w:rFonts w:hint="eastAsia"/>
                <w:sz w:val="18"/>
                <w:szCs w:val="18"/>
              </w:rPr>
              <w:t>G</w:t>
            </w:r>
            <w:r>
              <w:rPr>
                <w:sz w:val="18"/>
                <w:szCs w:val="18"/>
              </w:rPr>
              <w:t>3</w:t>
            </w:r>
          </w:p>
        </w:tc>
        <w:tc>
          <w:tcPr>
            <w:tcW w:w="1710" w:type="pct"/>
            <w:vAlign w:val="center"/>
          </w:tcPr>
          <w:p w14:paraId="62119C2E">
            <w:pPr>
              <w:adjustRightInd w:val="0"/>
              <w:snapToGrid w:val="0"/>
              <w:spacing w:line="240" w:lineRule="atLeast"/>
              <w:jc w:val="center"/>
              <w:rPr>
                <w:sz w:val="18"/>
                <w:szCs w:val="18"/>
              </w:rPr>
            </w:pPr>
            <w:r>
              <w:rPr>
                <w:rFonts w:hint="eastAsia"/>
                <w:sz w:val="18"/>
                <w:szCs w:val="18"/>
              </w:rPr>
              <w:t>木制粉尘</w:t>
            </w:r>
          </w:p>
        </w:tc>
        <w:tc>
          <w:tcPr>
            <w:tcW w:w="1039" w:type="pct"/>
            <w:vAlign w:val="center"/>
          </w:tcPr>
          <w:p w14:paraId="58A175DD">
            <w:pPr>
              <w:adjustRightInd w:val="0"/>
              <w:snapToGrid w:val="0"/>
              <w:spacing w:line="240" w:lineRule="atLeast"/>
              <w:jc w:val="center"/>
              <w:rPr>
                <w:sz w:val="18"/>
                <w:szCs w:val="18"/>
              </w:rPr>
            </w:pPr>
            <w:r>
              <w:rPr>
                <w:rFonts w:hint="eastAsia"/>
                <w:sz w:val="18"/>
                <w:szCs w:val="18"/>
              </w:rPr>
              <w:t>家具打孔</w:t>
            </w:r>
          </w:p>
        </w:tc>
        <w:tc>
          <w:tcPr>
            <w:tcW w:w="1072" w:type="pct"/>
            <w:vAlign w:val="center"/>
          </w:tcPr>
          <w:p w14:paraId="4533815E">
            <w:pPr>
              <w:adjustRightInd w:val="0"/>
              <w:snapToGrid w:val="0"/>
              <w:spacing w:line="240" w:lineRule="atLeast"/>
              <w:jc w:val="center"/>
              <w:rPr>
                <w:sz w:val="18"/>
                <w:szCs w:val="18"/>
              </w:rPr>
            </w:pPr>
            <w:r>
              <w:rPr>
                <w:rFonts w:hint="eastAsia"/>
                <w:sz w:val="18"/>
                <w:szCs w:val="18"/>
              </w:rPr>
              <w:t>颗粒物</w:t>
            </w:r>
          </w:p>
        </w:tc>
      </w:tr>
      <w:tr w14:paraId="55A7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0CCCC6FA">
            <w:pPr>
              <w:adjustRightInd w:val="0"/>
              <w:snapToGrid w:val="0"/>
              <w:jc w:val="center"/>
              <w:rPr>
                <w:sz w:val="18"/>
                <w:szCs w:val="18"/>
              </w:rPr>
            </w:pPr>
          </w:p>
        </w:tc>
        <w:tc>
          <w:tcPr>
            <w:tcW w:w="356" w:type="pct"/>
            <w:vMerge w:val="continue"/>
            <w:vAlign w:val="center"/>
          </w:tcPr>
          <w:p w14:paraId="26FA0F88">
            <w:pPr>
              <w:adjustRightInd w:val="0"/>
              <w:snapToGrid w:val="0"/>
              <w:jc w:val="center"/>
              <w:rPr>
                <w:sz w:val="18"/>
                <w:szCs w:val="18"/>
              </w:rPr>
            </w:pPr>
          </w:p>
        </w:tc>
        <w:tc>
          <w:tcPr>
            <w:tcW w:w="416" w:type="pct"/>
            <w:shd w:val="clear" w:color="auto" w:fill="auto"/>
            <w:vAlign w:val="center"/>
          </w:tcPr>
          <w:p w14:paraId="62329C69">
            <w:pPr>
              <w:adjustRightInd w:val="0"/>
              <w:snapToGrid w:val="0"/>
              <w:jc w:val="center"/>
              <w:rPr>
                <w:sz w:val="18"/>
                <w:szCs w:val="18"/>
              </w:rPr>
            </w:pPr>
            <w:r>
              <w:rPr>
                <w:rFonts w:hint="eastAsia"/>
                <w:sz w:val="18"/>
                <w:szCs w:val="18"/>
              </w:rPr>
              <w:t>G</w:t>
            </w:r>
            <w:r>
              <w:rPr>
                <w:sz w:val="18"/>
                <w:szCs w:val="18"/>
              </w:rPr>
              <w:t>4</w:t>
            </w:r>
          </w:p>
        </w:tc>
        <w:tc>
          <w:tcPr>
            <w:tcW w:w="1710" w:type="pct"/>
            <w:vAlign w:val="center"/>
          </w:tcPr>
          <w:p w14:paraId="4AA75756">
            <w:pPr>
              <w:adjustRightInd w:val="0"/>
              <w:snapToGrid w:val="0"/>
              <w:spacing w:line="240" w:lineRule="atLeast"/>
              <w:jc w:val="center"/>
              <w:rPr>
                <w:sz w:val="18"/>
                <w:szCs w:val="18"/>
              </w:rPr>
            </w:pPr>
            <w:r>
              <w:rPr>
                <w:rFonts w:hint="eastAsia"/>
                <w:sz w:val="18"/>
                <w:szCs w:val="18"/>
              </w:rPr>
              <w:t>胶水废气</w:t>
            </w:r>
          </w:p>
        </w:tc>
        <w:tc>
          <w:tcPr>
            <w:tcW w:w="1039" w:type="pct"/>
            <w:vAlign w:val="center"/>
          </w:tcPr>
          <w:p w14:paraId="10CE6D5D">
            <w:pPr>
              <w:adjustRightInd w:val="0"/>
              <w:snapToGrid w:val="0"/>
              <w:spacing w:line="240" w:lineRule="atLeast"/>
              <w:jc w:val="center"/>
              <w:rPr>
                <w:sz w:val="18"/>
                <w:szCs w:val="18"/>
              </w:rPr>
            </w:pPr>
            <w:r>
              <w:rPr>
                <w:rFonts w:hint="eastAsia"/>
                <w:sz w:val="18"/>
                <w:szCs w:val="18"/>
              </w:rPr>
              <w:t>胶合</w:t>
            </w:r>
          </w:p>
        </w:tc>
        <w:tc>
          <w:tcPr>
            <w:tcW w:w="1072" w:type="pct"/>
            <w:vAlign w:val="center"/>
          </w:tcPr>
          <w:p w14:paraId="5A464A92">
            <w:pPr>
              <w:adjustRightInd w:val="0"/>
              <w:snapToGrid w:val="0"/>
              <w:spacing w:line="240" w:lineRule="atLeast"/>
              <w:jc w:val="center"/>
              <w:rPr>
                <w:sz w:val="18"/>
                <w:szCs w:val="18"/>
              </w:rPr>
            </w:pPr>
            <w:r>
              <w:rPr>
                <w:rFonts w:hint="eastAsia"/>
                <w:sz w:val="18"/>
                <w:szCs w:val="18"/>
              </w:rPr>
              <w:t>醋酸乙烯酯、甲醛、甲苯</w:t>
            </w:r>
          </w:p>
        </w:tc>
      </w:tr>
      <w:tr w14:paraId="22F0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1CFD5599">
            <w:pPr>
              <w:adjustRightInd w:val="0"/>
              <w:snapToGrid w:val="0"/>
              <w:jc w:val="center"/>
              <w:rPr>
                <w:sz w:val="18"/>
                <w:szCs w:val="18"/>
              </w:rPr>
            </w:pPr>
          </w:p>
        </w:tc>
        <w:tc>
          <w:tcPr>
            <w:tcW w:w="356" w:type="pct"/>
            <w:vMerge w:val="continue"/>
            <w:vAlign w:val="center"/>
          </w:tcPr>
          <w:p w14:paraId="3DC997A3">
            <w:pPr>
              <w:adjustRightInd w:val="0"/>
              <w:snapToGrid w:val="0"/>
              <w:jc w:val="center"/>
              <w:rPr>
                <w:sz w:val="18"/>
                <w:szCs w:val="18"/>
              </w:rPr>
            </w:pPr>
          </w:p>
        </w:tc>
        <w:tc>
          <w:tcPr>
            <w:tcW w:w="416" w:type="pct"/>
            <w:shd w:val="clear" w:color="auto" w:fill="auto"/>
            <w:vAlign w:val="center"/>
          </w:tcPr>
          <w:p w14:paraId="79CB25DF">
            <w:pPr>
              <w:adjustRightInd w:val="0"/>
              <w:snapToGrid w:val="0"/>
              <w:jc w:val="center"/>
              <w:rPr>
                <w:sz w:val="18"/>
                <w:szCs w:val="18"/>
              </w:rPr>
            </w:pPr>
            <w:r>
              <w:rPr>
                <w:rFonts w:hint="eastAsia"/>
                <w:sz w:val="18"/>
                <w:szCs w:val="18"/>
              </w:rPr>
              <w:t>G5</w:t>
            </w:r>
          </w:p>
        </w:tc>
        <w:tc>
          <w:tcPr>
            <w:tcW w:w="1710" w:type="pct"/>
            <w:vAlign w:val="center"/>
          </w:tcPr>
          <w:p w14:paraId="0178DE2B">
            <w:pPr>
              <w:adjustRightInd w:val="0"/>
              <w:snapToGrid w:val="0"/>
              <w:spacing w:line="240" w:lineRule="atLeast"/>
              <w:jc w:val="center"/>
              <w:rPr>
                <w:sz w:val="18"/>
                <w:szCs w:val="18"/>
              </w:rPr>
            </w:pPr>
            <w:r>
              <w:rPr>
                <w:rFonts w:hint="eastAsia"/>
                <w:sz w:val="18"/>
                <w:szCs w:val="18"/>
              </w:rPr>
              <w:t>油漆废气</w:t>
            </w:r>
          </w:p>
        </w:tc>
        <w:tc>
          <w:tcPr>
            <w:tcW w:w="1039" w:type="pct"/>
            <w:vAlign w:val="center"/>
          </w:tcPr>
          <w:p w14:paraId="14EFB85E">
            <w:pPr>
              <w:adjustRightInd w:val="0"/>
              <w:snapToGrid w:val="0"/>
              <w:spacing w:line="240" w:lineRule="atLeast"/>
              <w:jc w:val="center"/>
              <w:rPr>
                <w:sz w:val="18"/>
                <w:szCs w:val="18"/>
              </w:rPr>
            </w:pPr>
            <w:r>
              <w:rPr>
                <w:rFonts w:hint="eastAsia"/>
                <w:sz w:val="18"/>
                <w:szCs w:val="18"/>
              </w:rPr>
              <w:t>喷漆</w:t>
            </w:r>
          </w:p>
        </w:tc>
        <w:tc>
          <w:tcPr>
            <w:tcW w:w="1072" w:type="pct"/>
            <w:vAlign w:val="center"/>
          </w:tcPr>
          <w:p w14:paraId="4B80B016">
            <w:pPr>
              <w:adjustRightInd w:val="0"/>
              <w:snapToGrid w:val="0"/>
              <w:spacing w:line="240" w:lineRule="atLeast"/>
              <w:jc w:val="center"/>
              <w:rPr>
                <w:sz w:val="18"/>
                <w:szCs w:val="18"/>
              </w:rPr>
            </w:pPr>
            <w:r>
              <w:rPr>
                <w:rFonts w:hint="eastAsia"/>
                <w:sz w:val="18"/>
                <w:szCs w:val="18"/>
              </w:rPr>
              <w:t>非甲烷总烃</w:t>
            </w:r>
          </w:p>
        </w:tc>
      </w:tr>
      <w:tr w14:paraId="670A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7055A495">
            <w:pPr>
              <w:adjustRightInd w:val="0"/>
              <w:snapToGrid w:val="0"/>
              <w:jc w:val="center"/>
              <w:rPr>
                <w:sz w:val="18"/>
                <w:szCs w:val="18"/>
              </w:rPr>
            </w:pPr>
          </w:p>
        </w:tc>
        <w:tc>
          <w:tcPr>
            <w:tcW w:w="356" w:type="pct"/>
            <w:vMerge w:val="restart"/>
            <w:vAlign w:val="center"/>
          </w:tcPr>
          <w:p w14:paraId="2097C903">
            <w:pPr>
              <w:adjustRightInd w:val="0"/>
              <w:snapToGrid w:val="0"/>
              <w:jc w:val="center"/>
              <w:rPr>
                <w:sz w:val="18"/>
                <w:szCs w:val="18"/>
              </w:rPr>
            </w:pPr>
            <w:r>
              <w:rPr>
                <w:sz w:val="18"/>
                <w:szCs w:val="18"/>
              </w:rPr>
              <w:t>固废</w:t>
            </w:r>
          </w:p>
        </w:tc>
        <w:tc>
          <w:tcPr>
            <w:tcW w:w="416" w:type="pct"/>
            <w:vAlign w:val="center"/>
          </w:tcPr>
          <w:p w14:paraId="7A074CAE">
            <w:pPr>
              <w:adjustRightInd w:val="0"/>
              <w:snapToGrid w:val="0"/>
              <w:spacing w:line="240" w:lineRule="atLeast"/>
              <w:jc w:val="center"/>
              <w:rPr>
                <w:sz w:val="18"/>
                <w:szCs w:val="18"/>
              </w:rPr>
            </w:pPr>
            <w:r>
              <w:rPr>
                <w:sz w:val="18"/>
                <w:szCs w:val="18"/>
              </w:rPr>
              <w:t>S1</w:t>
            </w:r>
          </w:p>
        </w:tc>
        <w:tc>
          <w:tcPr>
            <w:tcW w:w="1710" w:type="pct"/>
            <w:vAlign w:val="center"/>
          </w:tcPr>
          <w:p w14:paraId="0515B231">
            <w:pPr>
              <w:pStyle w:val="12"/>
              <w:topLinePunct/>
              <w:ind w:left="0" w:leftChars="0" w:firstLine="0" w:firstLineChars="0"/>
              <w:jc w:val="center"/>
              <w:rPr>
                <w:rFonts w:ascii="Times New Roman" w:hAnsi="Times New Roman"/>
                <w:kern w:val="0"/>
                <w:sz w:val="18"/>
                <w:szCs w:val="18"/>
              </w:rPr>
            </w:pPr>
            <w:r>
              <w:rPr>
                <w:rFonts w:hint="eastAsia" w:ascii="宋体" w:hAnsi="宋体"/>
                <w:sz w:val="18"/>
                <w:szCs w:val="18"/>
                <w:lang w:val="en-US"/>
              </w:rPr>
              <w:t>边角料</w:t>
            </w:r>
          </w:p>
        </w:tc>
        <w:tc>
          <w:tcPr>
            <w:tcW w:w="1039" w:type="pct"/>
            <w:vAlign w:val="center"/>
          </w:tcPr>
          <w:p w14:paraId="2C61A265">
            <w:pPr>
              <w:pStyle w:val="12"/>
              <w:topLinePunct/>
              <w:ind w:left="0" w:leftChars="0" w:firstLine="0" w:firstLineChars="0"/>
              <w:jc w:val="center"/>
              <w:rPr>
                <w:rFonts w:ascii="Times New Roman" w:hAnsi="Times New Roman"/>
                <w:kern w:val="0"/>
                <w:sz w:val="18"/>
                <w:szCs w:val="18"/>
                <w:lang w:val="en-US"/>
              </w:rPr>
            </w:pPr>
            <w:r>
              <w:rPr>
                <w:rFonts w:hint="eastAsia" w:ascii="宋体" w:hAnsi="宋体"/>
                <w:sz w:val="18"/>
                <w:szCs w:val="18"/>
                <w:lang w:val="en-US"/>
              </w:rPr>
              <w:t>下料</w:t>
            </w:r>
          </w:p>
        </w:tc>
        <w:tc>
          <w:tcPr>
            <w:tcW w:w="1072" w:type="pct"/>
            <w:vAlign w:val="center"/>
          </w:tcPr>
          <w:p w14:paraId="389FD70E">
            <w:pPr>
              <w:pStyle w:val="12"/>
              <w:topLinePunct/>
              <w:ind w:left="0" w:leftChars="0" w:firstLine="0" w:firstLineChars="0"/>
              <w:jc w:val="center"/>
              <w:rPr>
                <w:rFonts w:ascii="Times New Roman" w:hAnsi="Times New Roman"/>
                <w:kern w:val="0"/>
                <w:sz w:val="18"/>
                <w:szCs w:val="18"/>
                <w:lang w:val="en-US"/>
              </w:rPr>
            </w:pPr>
            <w:r>
              <w:rPr>
                <w:rFonts w:hint="eastAsia" w:ascii="宋体" w:hAnsi="宋体"/>
                <w:sz w:val="18"/>
                <w:szCs w:val="18"/>
                <w:lang w:val="en-US"/>
              </w:rPr>
              <w:t>废板材</w:t>
            </w:r>
          </w:p>
        </w:tc>
      </w:tr>
      <w:tr w14:paraId="1F65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081B4AE5">
            <w:pPr>
              <w:adjustRightInd w:val="0"/>
              <w:snapToGrid w:val="0"/>
              <w:jc w:val="center"/>
              <w:rPr>
                <w:sz w:val="18"/>
                <w:szCs w:val="18"/>
              </w:rPr>
            </w:pPr>
          </w:p>
        </w:tc>
        <w:tc>
          <w:tcPr>
            <w:tcW w:w="356" w:type="pct"/>
            <w:vMerge w:val="continue"/>
            <w:vAlign w:val="center"/>
          </w:tcPr>
          <w:p w14:paraId="1A14DDAE">
            <w:pPr>
              <w:adjustRightInd w:val="0"/>
              <w:snapToGrid w:val="0"/>
              <w:jc w:val="center"/>
              <w:rPr>
                <w:sz w:val="18"/>
                <w:szCs w:val="18"/>
              </w:rPr>
            </w:pPr>
          </w:p>
        </w:tc>
        <w:tc>
          <w:tcPr>
            <w:tcW w:w="416" w:type="pct"/>
            <w:vAlign w:val="center"/>
          </w:tcPr>
          <w:p w14:paraId="2D890F50">
            <w:pPr>
              <w:adjustRightInd w:val="0"/>
              <w:snapToGrid w:val="0"/>
              <w:spacing w:line="240" w:lineRule="atLeast"/>
              <w:jc w:val="center"/>
              <w:rPr>
                <w:sz w:val="18"/>
                <w:szCs w:val="18"/>
              </w:rPr>
            </w:pPr>
            <w:r>
              <w:rPr>
                <w:sz w:val="18"/>
                <w:szCs w:val="18"/>
              </w:rPr>
              <w:t>S2</w:t>
            </w:r>
          </w:p>
        </w:tc>
        <w:tc>
          <w:tcPr>
            <w:tcW w:w="1710" w:type="pct"/>
            <w:shd w:val="clear" w:color="auto" w:fill="auto"/>
            <w:vAlign w:val="center"/>
          </w:tcPr>
          <w:p w14:paraId="7E1D4541">
            <w:pPr>
              <w:pStyle w:val="12"/>
              <w:topLinePunct/>
              <w:ind w:left="-105" w:leftChars="-50" w:right="-105" w:rightChars="-50" w:firstLine="0" w:firstLineChars="0"/>
              <w:jc w:val="center"/>
              <w:rPr>
                <w:rFonts w:ascii="Times New Roman" w:hAnsi="Times New Roman"/>
                <w:kern w:val="0"/>
                <w:sz w:val="18"/>
                <w:szCs w:val="18"/>
              </w:rPr>
            </w:pPr>
            <w:r>
              <w:rPr>
                <w:rFonts w:hint="eastAsia" w:ascii="Times New Roman" w:hAnsi="Times New Roman"/>
                <w:sz w:val="18"/>
                <w:szCs w:val="18"/>
                <w:lang w:val="en-US"/>
              </w:rPr>
              <w:t>废布料</w:t>
            </w:r>
          </w:p>
        </w:tc>
        <w:tc>
          <w:tcPr>
            <w:tcW w:w="1039" w:type="pct"/>
            <w:shd w:val="clear" w:color="auto" w:fill="auto"/>
            <w:vAlign w:val="center"/>
          </w:tcPr>
          <w:p w14:paraId="43F6BC9C">
            <w:pPr>
              <w:pStyle w:val="12"/>
              <w:topLinePunct/>
              <w:ind w:left="0" w:leftChars="0" w:firstLine="0" w:firstLineChars="0"/>
              <w:jc w:val="center"/>
              <w:rPr>
                <w:rFonts w:ascii="Times New Roman" w:hAnsi="Times New Roman"/>
                <w:kern w:val="0"/>
                <w:sz w:val="18"/>
                <w:szCs w:val="18"/>
                <w:lang w:val="en-US"/>
              </w:rPr>
            </w:pPr>
            <w:r>
              <w:rPr>
                <w:rFonts w:hint="eastAsia" w:ascii="宋体" w:hAnsi="宋体"/>
                <w:sz w:val="18"/>
                <w:szCs w:val="18"/>
                <w:lang w:val="en-US"/>
              </w:rPr>
              <w:t>软包</w:t>
            </w:r>
          </w:p>
        </w:tc>
        <w:tc>
          <w:tcPr>
            <w:tcW w:w="1072" w:type="pct"/>
            <w:shd w:val="clear" w:color="auto" w:fill="auto"/>
            <w:vAlign w:val="center"/>
          </w:tcPr>
          <w:p w14:paraId="6BAE7905">
            <w:pPr>
              <w:pStyle w:val="12"/>
              <w:topLinePunct/>
              <w:ind w:left="0" w:leftChars="0" w:firstLine="0" w:firstLineChars="0"/>
              <w:jc w:val="center"/>
              <w:rPr>
                <w:rFonts w:ascii="Times New Roman" w:hAnsi="Times New Roman"/>
                <w:kern w:val="0"/>
                <w:sz w:val="18"/>
                <w:szCs w:val="18"/>
              </w:rPr>
            </w:pPr>
            <w:r>
              <w:rPr>
                <w:rFonts w:hint="eastAsia" w:ascii="宋体" w:hAnsi="宋体"/>
                <w:kern w:val="0"/>
                <w:sz w:val="18"/>
                <w:szCs w:val="18"/>
                <w:lang w:val="en-US"/>
              </w:rPr>
              <w:t>废布料</w:t>
            </w:r>
          </w:p>
        </w:tc>
      </w:tr>
      <w:tr w14:paraId="60FB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1C656C90">
            <w:pPr>
              <w:adjustRightInd w:val="0"/>
              <w:snapToGrid w:val="0"/>
              <w:jc w:val="center"/>
              <w:rPr>
                <w:sz w:val="18"/>
                <w:szCs w:val="18"/>
              </w:rPr>
            </w:pPr>
          </w:p>
        </w:tc>
        <w:tc>
          <w:tcPr>
            <w:tcW w:w="356" w:type="pct"/>
            <w:vMerge w:val="continue"/>
            <w:vAlign w:val="center"/>
          </w:tcPr>
          <w:p w14:paraId="7A028F66">
            <w:pPr>
              <w:adjustRightInd w:val="0"/>
              <w:snapToGrid w:val="0"/>
              <w:jc w:val="center"/>
              <w:rPr>
                <w:sz w:val="18"/>
                <w:szCs w:val="18"/>
              </w:rPr>
            </w:pPr>
          </w:p>
        </w:tc>
        <w:tc>
          <w:tcPr>
            <w:tcW w:w="416" w:type="pct"/>
            <w:vAlign w:val="center"/>
          </w:tcPr>
          <w:p w14:paraId="4F443A02">
            <w:pPr>
              <w:adjustRightInd w:val="0"/>
              <w:snapToGrid w:val="0"/>
              <w:spacing w:line="240" w:lineRule="atLeast"/>
              <w:jc w:val="center"/>
              <w:rPr>
                <w:sz w:val="18"/>
                <w:szCs w:val="18"/>
              </w:rPr>
            </w:pPr>
            <w:r>
              <w:rPr>
                <w:rFonts w:hint="eastAsia"/>
                <w:sz w:val="18"/>
                <w:szCs w:val="18"/>
              </w:rPr>
              <w:t>S</w:t>
            </w:r>
            <w:r>
              <w:rPr>
                <w:sz w:val="18"/>
                <w:szCs w:val="18"/>
              </w:rPr>
              <w:t>3</w:t>
            </w:r>
          </w:p>
        </w:tc>
        <w:tc>
          <w:tcPr>
            <w:tcW w:w="1710" w:type="pct"/>
            <w:shd w:val="clear" w:color="auto" w:fill="auto"/>
            <w:vAlign w:val="center"/>
          </w:tcPr>
          <w:p w14:paraId="0772459B">
            <w:pPr>
              <w:pStyle w:val="12"/>
              <w:topLinePunct/>
              <w:ind w:left="-105" w:leftChars="-50" w:right="-105" w:rightChars="-50" w:firstLine="0" w:firstLineChars="0"/>
              <w:jc w:val="center"/>
              <w:rPr>
                <w:rFonts w:ascii="Times New Roman" w:hAnsi="Times New Roman"/>
                <w:kern w:val="0"/>
                <w:sz w:val="18"/>
                <w:szCs w:val="18"/>
              </w:rPr>
            </w:pPr>
            <w:r>
              <w:rPr>
                <w:rFonts w:hint="eastAsia" w:ascii="Times New Roman" w:hAnsi="Times New Roman"/>
                <w:sz w:val="18"/>
                <w:szCs w:val="18"/>
                <w:lang w:val="en-US"/>
              </w:rPr>
              <w:t>废皮革</w:t>
            </w:r>
          </w:p>
        </w:tc>
        <w:tc>
          <w:tcPr>
            <w:tcW w:w="1039" w:type="pct"/>
            <w:shd w:val="clear" w:color="auto" w:fill="auto"/>
            <w:vAlign w:val="center"/>
          </w:tcPr>
          <w:p w14:paraId="45E50DD8">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软包</w:t>
            </w:r>
          </w:p>
        </w:tc>
        <w:tc>
          <w:tcPr>
            <w:tcW w:w="1072" w:type="pct"/>
            <w:shd w:val="clear" w:color="auto" w:fill="auto"/>
            <w:vAlign w:val="center"/>
          </w:tcPr>
          <w:p w14:paraId="7F50FCB1">
            <w:pPr>
              <w:pStyle w:val="12"/>
              <w:topLinePunct/>
              <w:ind w:left="0" w:leftChars="0" w:firstLine="0" w:firstLineChars="0"/>
              <w:jc w:val="center"/>
              <w:rPr>
                <w:rFonts w:ascii="Times New Roman" w:hAnsi="Times New Roman"/>
                <w:kern w:val="0"/>
                <w:sz w:val="18"/>
                <w:szCs w:val="18"/>
              </w:rPr>
            </w:pPr>
            <w:r>
              <w:rPr>
                <w:rFonts w:hint="eastAsia" w:ascii="Times New Roman" w:hAnsi="Times New Roman"/>
                <w:kern w:val="0"/>
                <w:sz w:val="18"/>
                <w:szCs w:val="18"/>
                <w:lang w:val="en-US"/>
              </w:rPr>
              <w:t>废皮革</w:t>
            </w:r>
          </w:p>
        </w:tc>
      </w:tr>
      <w:tr w14:paraId="2E56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1D49366F">
            <w:pPr>
              <w:adjustRightInd w:val="0"/>
              <w:snapToGrid w:val="0"/>
              <w:jc w:val="center"/>
              <w:rPr>
                <w:sz w:val="18"/>
                <w:szCs w:val="18"/>
              </w:rPr>
            </w:pPr>
          </w:p>
        </w:tc>
        <w:tc>
          <w:tcPr>
            <w:tcW w:w="356" w:type="pct"/>
            <w:vMerge w:val="continue"/>
            <w:vAlign w:val="center"/>
          </w:tcPr>
          <w:p w14:paraId="1CBA08B5">
            <w:pPr>
              <w:adjustRightInd w:val="0"/>
              <w:snapToGrid w:val="0"/>
              <w:jc w:val="center"/>
              <w:rPr>
                <w:sz w:val="18"/>
                <w:szCs w:val="18"/>
              </w:rPr>
            </w:pPr>
          </w:p>
        </w:tc>
        <w:tc>
          <w:tcPr>
            <w:tcW w:w="416" w:type="pct"/>
            <w:vAlign w:val="center"/>
          </w:tcPr>
          <w:p w14:paraId="27ECCD10">
            <w:pPr>
              <w:adjustRightInd w:val="0"/>
              <w:snapToGrid w:val="0"/>
              <w:spacing w:line="240" w:lineRule="atLeast"/>
              <w:jc w:val="center"/>
              <w:rPr>
                <w:sz w:val="18"/>
                <w:szCs w:val="18"/>
              </w:rPr>
            </w:pPr>
            <w:r>
              <w:rPr>
                <w:rFonts w:hint="eastAsia"/>
                <w:sz w:val="18"/>
                <w:szCs w:val="18"/>
              </w:rPr>
              <w:t>S</w:t>
            </w:r>
            <w:r>
              <w:rPr>
                <w:sz w:val="18"/>
                <w:szCs w:val="18"/>
              </w:rPr>
              <w:t>4</w:t>
            </w:r>
          </w:p>
        </w:tc>
        <w:tc>
          <w:tcPr>
            <w:tcW w:w="1710" w:type="pct"/>
            <w:shd w:val="clear" w:color="auto" w:fill="auto"/>
            <w:vAlign w:val="center"/>
          </w:tcPr>
          <w:p w14:paraId="4283B953">
            <w:pPr>
              <w:pStyle w:val="12"/>
              <w:topLinePunct/>
              <w:ind w:left="-105" w:leftChars="-50" w:right="-105" w:rightChars="-50" w:firstLine="0" w:firstLineChars="0"/>
              <w:jc w:val="center"/>
              <w:rPr>
                <w:rFonts w:ascii="Times New Roman" w:hAnsi="Times New Roman"/>
                <w:kern w:val="0"/>
                <w:sz w:val="18"/>
                <w:szCs w:val="18"/>
                <w:lang w:val="en-US"/>
              </w:rPr>
            </w:pPr>
            <w:r>
              <w:rPr>
                <w:rFonts w:hint="eastAsia" w:ascii="Times New Roman" w:hAnsi="Times New Roman"/>
                <w:sz w:val="18"/>
                <w:szCs w:val="18"/>
                <w:lang w:val="en-US"/>
              </w:rPr>
              <w:t>漆渣</w:t>
            </w:r>
          </w:p>
        </w:tc>
        <w:tc>
          <w:tcPr>
            <w:tcW w:w="1039" w:type="pct"/>
            <w:shd w:val="clear" w:color="auto" w:fill="auto"/>
            <w:vAlign w:val="center"/>
          </w:tcPr>
          <w:p w14:paraId="52698F2D">
            <w:pPr>
              <w:pStyle w:val="12"/>
              <w:topLinePunct/>
              <w:ind w:left="0" w:leftChars="0" w:firstLine="0" w:firstLineChars="0"/>
              <w:jc w:val="center"/>
              <w:rPr>
                <w:rFonts w:ascii="Times New Roman" w:hAnsi="Times New Roman"/>
                <w:kern w:val="0"/>
                <w:sz w:val="18"/>
                <w:szCs w:val="18"/>
                <w:lang w:val="en-US"/>
              </w:rPr>
            </w:pPr>
            <w:r>
              <w:rPr>
                <w:rFonts w:hint="eastAsia" w:ascii="宋体" w:hAnsi="宋体"/>
                <w:sz w:val="18"/>
                <w:szCs w:val="18"/>
                <w:lang w:val="en-US"/>
              </w:rPr>
              <w:t>废气处理</w:t>
            </w:r>
          </w:p>
        </w:tc>
        <w:tc>
          <w:tcPr>
            <w:tcW w:w="1072" w:type="pct"/>
            <w:shd w:val="clear" w:color="auto" w:fill="auto"/>
            <w:vAlign w:val="center"/>
          </w:tcPr>
          <w:p w14:paraId="36A68C03">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漆渣</w:t>
            </w:r>
          </w:p>
        </w:tc>
      </w:tr>
      <w:tr w14:paraId="11E6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3930D25C">
            <w:pPr>
              <w:adjustRightInd w:val="0"/>
              <w:snapToGrid w:val="0"/>
              <w:jc w:val="center"/>
              <w:rPr>
                <w:sz w:val="18"/>
                <w:szCs w:val="18"/>
              </w:rPr>
            </w:pPr>
          </w:p>
        </w:tc>
        <w:tc>
          <w:tcPr>
            <w:tcW w:w="356" w:type="pct"/>
            <w:vMerge w:val="continue"/>
            <w:vAlign w:val="center"/>
          </w:tcPr>
          <w:p w14:paraId="2102E5C5">
            <w:pPr>
              <w:adjustRightInd w:val="0"/>
              <w:snapToGrid w:val="0"/>
              <w:jc w:val="center"/>
              <w:rPr>
                <w:sz w:val="18"/>
                <w:szCs w:val="18"/>
              </w:rPr>
            </w:pPr>
          </w:p>
        </w:tc>
        <w:tc>
          <w:tcPr>
            <w:tcW w:w="416" w:type="pct"/>
            <w:vAlign w:val="center"/>
          </w:tcPr>
          <w:p w14:paraId="073581F3">
            <w:pPr>
              <w:adjustRightInd w:val="0"/>
              <w:snapToGrid w:val="0"/>
              <w:spacing w:line="240" w:lineRule="atLeast"/>
              <w:jc w:val="center"/>
              <w:rPr>
                <w:sz w:val="18"/>
                <w:szCs w:val="18"/>
              </w:rPr>
            </w:pPr>
            <w:r>
              <w:rPr>
                <w:rFonts w:hint="eastAsia"/>
                <w:sz w:val="18"/>
                <w:szCs w:val="18"/>
              </w:rPr>
              <w:t>S5</w:t>
            </w:r>
          </w:p>
        </w:tc>
        <w:tc>
          <w:tcPr>
            <w:tcW w:w="1710" w:type="pct"/>
            <w:shd w:val="clear" w:color="auto" w:fill="auto"/>
            <w:vAlign w:val="center"/>
          </w:tcPr>
          <w:p w14:paraId="2AC6F06A">
            <w:pPr>
              <w:pStyle w:val="12"/>
              <w:topLinePunct/>
              <w:ind w:left="-105" w:leftChars="-50" w:right="-105" w:rightChars="-5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废漆桶</w:t>
            </w:r>
          </w:p>
        </w:tc>
        <w:tc>
          <w:tcPr>
            <w:tcW w:w="1039" w:type="pct"/>
            <w:shd w:val="clear" w:color="auto" w:fill="auto"/>
            <w:vAlign w:val="center"/>
          </w:tcPr>
          <w:p w14:paraId="2D01E1A2">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原料包装</w:t>
            </w:r>
          </w:p>
        </w:tc>
        <w:tc>
          <w:tcPr>
            <w:tcW w:w="1072" w:type="pct"/>
            <w:shd w:val="clear" w:color="auto" w:fill="auto"/>
            <w:vAlign w:val="center"/>
          </w:tcPr>
          <w:p w14:paraId="3C39D67F">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废漆桶</w:t>
            </w:r>
          </w:p>
        </w:tc>
      </w:tr>
      <w:tr w14:paraId="6844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59969457">
            <w:pPr>
              <w:adjustRightInd w:val="0"/>
              <w:snapToGrid w:val="0"/>
              <w:jc w:val="center"/>
              <w:rPr>
                <w:sz w:val="18"/>
                <w:szCs w:val="18"/>
              </w:rPr>
            </w:pPr>
          </w:p>
        </w:tc>
        <w:tc>
          <w:tcPr>
            <w:tcW w:w="356" w:type="pct"/>
            <w:vMerge w:val="continue"/>
            <w:vAlign w:val="center"/>
          </w:tcPr>
          <w:p w14:paraId="00C5C499">
            <w:pPr>
              <w:adjustRightInd w:val="0"/>
              <w:snapToGrid w:val="0"/>
              <w:jc w:val="center"/>
              <w:rPr>
                <w:sz w:val="18"/>
                <w:szCs w:val="18"/>
              </w:rPr>
            </w:pPr>
          </w:p>
        </w:tc>
        <w:tc>
          <w:tcPr>
            <w:tcW w:w="416" w:type="pct"/>
            <w:vAlign w:val="center"/>
          </w:tcPr>
          <w:p w14:paraId="3E13BFC7">
            <w:pPr>
              <w:adjustRightInd w:val="0"/>
              <w:snapToGrid w:val="0"/>
              <w:spacing w:line="240" w:lineRule="atLeast"/>
              <w:jc w:val="center"/>
              <w:rPr>
                <w:sz w:val="18"/>
                <w:szCs w:val="18"/>
              </w:rPr>
            </w:pPr>
            <w:r>
              <w:rPr>
                <w:rFonts w:hint="eastAsia"/>
                <w:sz w:val="18"/>
                <w:szCs w:val="18"/>
              </w:rPr>
              <w:t>S6</w:t>
            </w:r>
          </w:p>
        </w:tc>
        <w:tc>
          <w:tcPr>
            <w:tcW w:w="1710" w:type="pct"/>
            <w:shd w:val="clear" w:color="auto" w:fill="auto"/>
            <w:vAlign w:val="center"/>
          </w:tcPr>
          <w:p w14:paraId="16B116DB">
            <w:pPr>
              <w:pStyle w:val="12"/>
              <w:topLinePunct/>
              <w:ind w:left="-105" w:leftChars="-50" w:right="-105" w:rightChars="-5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废木屑</w:t>
            </w:r>
          </w:p>
        </w:tc>
        <w:tc>
          <w:tcPr>
            <w:tcW w:w="1039" w:type="pct"/>
            <w:shd w:val="clear" w:color="auto" w:fill="auto"/>
            <w:vAlign w:val="center"/>
          </w:tcPr>
          <w:p w14:paraId="22C67B2B">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废气处理</w:t>
            </w:r>
          </w:p>
        </w:tc>
        <w:tc>
          <w:tcPr>
            <w:tcW w:w="1072" w:type="pct"/>
            <w:shd w:val="clear" w:color="auto" w:fill="auto"/>
            <w:vAlign w:val="center"/>
          </w:tcPr>
          <w:p w14:paraId="336FEF86">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废木屑</w:t>
            </w:r>
          </w:p>
        </w:tc>
      </w:tr>
      <w:tr w14:paraId="3AD5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2C8AED7D">
            <w:pPr>
              <w:adjustRightInd w:val="0"/>
              <w:snapToGrid w:val="0"/>
              <w:jc w:val="center"/>
              <w:rPr>
                <w:sz w:val="18"/>
                <w:szCs w:val="18"/>
              </w:rPr>
            </w:pPr>
          </w:p>
        </w:tc>
        <w:tc>
          <w:tcPr>
            <w:tcW w:w="356" w:type="pct"/>
            <w:vMerge w:val="continue"/>
            <w:vAlign w:val="center"/>
          </w:tcPr>
          <w:p w14:paraId="68C5924C">
            <w:pPr>
              <w:adjustRightInd w:val="0"/>
              <w:snapToGrid w:val="0"/>
              <w:jc w:val="center"/>
              <w:rPr>
                <w:sz w:val="18"/>
                <w:szCs w:val="18"/>
              </w:rPr>
            </w:pPr>
          </w:p>
        </w:tc>
        <w:tc>
          <w:tcPr>
            <w:tcW w:w="416" w:type="pct"/>
            <w:vAlign w:val="center"/>
          </w:tcPr>
          <w:p w14:paraId="7E8A6F28">
            <w:pPr>
              <w:adjustRightInd w:val="0"/>
              <w:snapToGrid w:val="0"/>
              <w:spacing w:line="240" w:lineRule="atLeast"/>
              <w:jc w:val="center"/>
              <w:rPr>
                <w:sz w:val="18"/>
                <w:szCs w:val="18"/>
              </w:rPr>
            </w:pPr>
            <w:r>
              <w:rPr>
                <w:rFonts w:hint="eastAsia"/>
                <w:sz w:val="18"/>
                <w:szCs w:val="18"/>
              </w:rPr>
              <w:t>S7</w:t>
            </w:r>
          </w:p>
        </w:tc>
        <w:tc>
          <w:tcPr>
            <w:tcW w:w="1710" w:type="pct"/>
            <w:shd w:val="clear" w:color="auto" w:fill="auto"/>
            <w:vAlign w:val="center"/>
          </w:tcPr>
          <w:p w14:paraId="1FD753E9">
            <w:pPr>
              <w:pStyle w:val="12"/>
              <w:topLinePunct/>
              <w:ind w:left="-105" w:leftChars="-50" w:right="-105" w:rightChars="-5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生活垃圾</w:t>
            </w:r>
          </w:p>
        </w:tc>
        <w:tc>
          <w:tcPr>
            <w:tcW w:w="1039" w:type="pct"/>
            <w:shd w:val="clear" w:color="auto" w:fill="auto"/>
            <w:vAlign w:val="center"/>
          </w:tcPr>
          <w:p w14:paraId="22BAC738">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员工生活</w:t>
            </w:r>
          </w:p>
        </w:tc>
        <w:tc>
          <w:tcPr>
            <w:tcW w:w="1072" w:type="pct"/>
            <w:shd w:val="clear" w:color="auto" w:fill="auto"/>
            <w:vAlign w:val="center"/>
          </w:tcPr>
          <w:p w14:paraId="7279844F">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生活垃圾</w:t>
            </w:r>
          </w:p>
        </w:tc>
      </w:tr>
      <w:tr w14:paraId="295B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36B912F5">
            <w:pPr>
              <w:adjustRightInd w:val="0"/>
              <w:snapToGrid w:val="0"/>
              <w:jc w:val="center"/>
              <w:rPr>
                <w:sz w:val="18"/>
                <w:szCs w:val="18"/>
              </w:rPr>
            </w:pPr>
          </w:p>
        </w:tc>
        <w:tc>
          <w:tcPr>
            <w:tcW w:w="356" w:type="pct"/>
            <w:vAlign w:val="center"/>
          </w:tcPr>
          <w:p w14:paraId="75192435">
            <w:pPr>
              <w:adjustRightInd w:val="0"/>
              <w:snapToGrid w:val="0"/>
              <w:jc w:val="center"/>
              <w:rPr>
                <w:sz w:val="18"/>
                <w:szCs w:val="18"/>
              </w:rPr>
            </w:pPr>
            <w:r>
              <w:rPr>
                <w:rFonts w:hint="eastAsia"/>
                <w:sz w:val="18"/>
                <w:szCs w:val="18"/>
              </w:rPr>
              <w:t>废水</w:t>
            </w:r>
          </w:p>
        </w:tc>
        <w:tc>
          <w:tcPr>
            <w:tcW w:w="416" w:type="pct"/>
            <w:vAlign w:val="center"/>
          </w:tcPr>
          <w:p w14:paraId="608EF1F9">
            <w:pPr>
              <w:adjustRightInd w:val="0"/>
              <w:snapToGrid w:val="0"/>
              <w:spacing w:line="240" w:lineRule="atLeast"/>
              <w:jc w:val="center"/>
              <w:rPr>
                <w:sz w:val="18"/>
                <w:szCs w:val="18"/>
              </w:rPr>
            </w:pPr>
            <w:r>
              <w:rPr>
                <w:rFonts w:hint="eastAsia"/>
                <w:sz w:val="18"/>
                <w:szCs w:val="18"/>
              </w:rPr>
              <w:t>W1</w:t>
            </w:r>
          </w:p>
        </w:tc>
        <w:tc>
          <w:tcPr>
            <w:tcW w:w="1710" w:type="pct"/>
            <w:vAlign w:val="center"/>
          </w:tcPr>
          <w:p w14:paraId="66E5CCE0">
            <w:pPr>
              <w:pStyle w:val="12"/>
              <w:topLinePunct/>
              <w:ind w:left="-105" w:leftChars="-50" w:right="-105" w:rightChars="-50" w:firstLine="0" w:firstLineChars="0"/>
              <w:jc w:val="center"/>
              <w:rPr>
                <w:rFonts w:ascii="Times New Roman" w:hAnsi="Times New Roman"/>
                <w:sz w:val="18"/>
                <w:szCs w:val="18"/>
                <w:lang w:val="en-US"/>
              </w:rPr>
            </w:pPr>
            <w:r>
              <w:rPr>
                <w:rFonts w:hint="eastAsia" w:ascii="Times New Roman" w:hAnsi="Times New Roman"/>
                <w:sz w:val="18"/>
                <w:szCs w:val="18"/>
                <w:lang w:val="en-US"/>
              </w:rPr>
              <w:t>水帘废水</w:t>
            </w:r>
          </w:p>
        </w:tc>
        <w:tc>
          <w:tcPr>
            <w:tcW w:w="1039" w:type="pct"/>
            <w:vAlign w:val="center"/>
          </w:tcPr>
          <w:p w14:paraId="18F18B0A">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废气处理</w:t>
            </w:r>
          </w:p>
        </w:tc>
        <w:tc>
          <w:tcPr>
            <w:tcW w:w="1072" w:type="pct"/>
            <w:vAlign w:val="center"/>
          </w:tcPr>
          <w:p w14:paraId="056FB410">
            <w:pPr>
              <w:pStyle w:val="12"/>
              <w:topLinePunct/>
              <w:ind w:left="0" w:leftChars="0" w:firstLine="0" w:firstLineChars="0"/>
              <w:jc w:val="center"/>
              <w:rPr>
                <w:rFonts w:ascii="Times New Roman" w:hAnsi="Times New Roman"/>
                <w:kern w:val="0"/>
                <w:sz w:val="18"/>
                <w:szCs w:val="18"/>
                <w:lang w:val="en-US"/>
              </w:rPr>
            </w:pPr>
            <w:r>
              <w:rPr>
                <w:rFonts w:hint="eastAsia" w:ascii="Times New Roman" w:hAnsi="Times New Roman"/>
                <w:kern w:val="0"/>
                <w:sz w:val="18"/>
                <w:szCs w:val="18"/>
                <w:lang w:val="en-US"/>
              </w:rPr>
              <w:t>COD、氨氮、SS</w:t>
            </w:r>
          </w:p>
        </w:tc>
      </w:tr>
      <w:tr w14:paraId="71FB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3310D204">
            <w:pPr>
              <w:adjustRightInd w:val="0"/>
              <w:snapToGrid w:val="0"/>
              <w:jc w:val="center"/>
              <w:rPr>
                <w:sz w:val="18"/>
                <w:szCs w:val="18"/>
              </w:rPr>
            </w:pPr>
          </w:p>
        </w:tc>
        <w:tc>
          <w:tcPr>
            <w:tcW w:w="356" w:type="pct"/>
            <w:vAlign w:val="center"/>
          </w:tcPr>
          <w:p w14:paraId="2755BB6C">
            <w:pPr>
              <w:adjustRightInd w:val="0"/>
              <w:snapToGrid w:val="0"/>
              <w:jc w:val="center"/>
              <w:rPr>
                <w:sz w:val="18"/>
                <w:szCs w:val="18"/>
              </w:rPr>
            </w:pPr>
            <w:r>
              <w:rPr>
                <w:sz w:val="18"/>
                <w:szCs w:val="18"/>
              </w:rPr>
              <w:t>噪声</w:t>
            </w:r>
          </w:p>
        </w:tc>
        <w:tc>
          <w:tcPr>
            <w:tcW w:w="4238" w:type="pct"/>
            <w:gridSpan w:val="4"/>
            <w:vAlign w:val="center"/>
          </w:tcPr>
          <w:p w14:paraId="1F03DB27">
            <w:pPr>
              <w:adjustRightInd w:val="0"/>
              <w:snapToGrid w:val="0"/>
              <w:rPr>
                <w:sz w:val="18"/>
                <w:szCs w:val="18"/>
              </w:rPr>
            </w:pPr>
            <w:r>
              <w:rPr>
                <w:sz w:val="18"/>
                <w:szCs w:val="18"/>
              </w:rPr>
              <w:t>设备运转产生的机械噪声。</w:t>
            </w:r>
          </w:p>
        </w:tc>
      </w:tr>
    </w:tbl>
    <w:p w14:paraId="4D19B0FF">
      <w:pPr>
        <w:pStyle w:val="122"/>
        <w:ind w:firstLine="482"/>
        <w:rPr>
          <w:b/>
          <w:bCs/>
        </w:rPr>
      </w:pPr>
      <w:r>
        <w:rPr>
          <w:rFonts w:hint="eastAsia"/>
          <w:b/>
          <w:bCs/>
        </w:rPr>
        <w:t>1</w:t>
      </w:r>
      <w:r>
        <w:rPr>
          <w:b/>
          <w:bCs/>
        </w:rPr>
        <w:t>.6.1</w:t>
      </w:r>
      <w:r>
        <w:rPr>
          <w:rFonts w:hint="eastAsia"/>
          <w:b/>
          <w:bCs/>
        </w:rPr>
        <w:t>废气</w:t>
      </w:r>
    </w:p>
    <w:p w14:paraId="6DA7FDC7">
      <w:pPr>
        <w:adjustRightInd w:val="0"/>
        <w:snapToGrid w:val="0"/>
        <w:spacing w:line="360" w:lineRule="auto"/>
        <w:ind w:firstLine="480" w:firstLineChars="200"/>
        <w:rPr>
          <w:sz w:val="24"/>
          <w:szCs w:val="24"/>
        </w:rPr>
      </w:pPr>
      <w:r>
        <w:rPr>
          <w:rFonts w:hint="eastAsia"/>
          <w:sz w:val="24"/>
          <w:szCs w:val="24"/>
        </w:rPr>
        <w:t>项目废气主要为下料粉尘、木制粉尘、油漆废气。</w:t>
      </w:r>
    </w:p>
    <w:p w14:paraId="60BF9EA5">
      <w:pPr>
        <w:adjustRightInd w:val="0"/>
        <w:snapToGrid w:val="0"/>
        <w:spacing w:line="360" w:lineRule="auto"/>
        <w:ind w:firstLine="480" w:firstLineChars="200"/>
        <w:rPr>
          <w:sz w:val="24"/>
          <w:szCs w:val="24"/>
        </w:rPr>
      </w:pPr>
      <w:bookmarkStart w:id="25" w:name="_Toc3029"/>
      <w:r>
        <w:rPr>
          <w:rFonts w:hint="eastAsia"/>
          <w:sz w:val="24"/>
          <w:szCs w:val="24"/>
        </w:rPr>
        <w:t>（1）废气产生情况</w:t>
      </w:r>
      <w:bookmarkEnd w:id="25"/>
    </w:p>
    <w:p w14:paraId="32361AC0">
      <w:pPr>
        <w:adjustRightInd w:val="0"/>
        <w:snapToGrid w:val="0"/>
        <w:spacing w:line="360" w:lineRule="auto"/>
        <w:ind w:firstLine="480" w:firstLineChars="200"/>
        <w:rPr>
          <w:sz w:val="24"/>
          <w:szCs w:val="24"/>
        </w:rPr>
      </w:pPr>
      <w:r>
        <w:rPr>
          <w:rFonts w:hint="eastAsia"/>
          <w:sz w:val="24"/>
          <w:szCs w:val="24"/>
        </w:rPr>
        <w:t>1）下料粉尘、木制粉尘（G1、G2、G3）</w:t>
      </w:r>
    </w:p>
    <w:p w14:paraId="60AD066C">
      <w:pPr>
        <w:adjustRightInd w:val="0"/>
        <w:snapToGrid w:val="0"/>
        <w:spacing w:line="360" w:lineRule="auto"/>
        <w:ind w:firstLine="480" w:firstLineChars="200"/>
        <w:rPr>
          <w:sz w:val="24"/>
          <w:szCs w:val="24"/>
        </w:rPr>
      </w:pPr>
      <w:r>
        <w:rPr>
          <w:rFonts w:hint="eastAsia"/>
          <w:sz w:val="24"/>
          <w:szCs w:val="24"/>
        </w:rPr>
        <w:t>项目下料、板材加工、板材打孔工段将会产生颗粒物，各木制粉尘产生节点上方将设置集气罩，粉尘经设备配套的袋式过滤器（净化效率可达99%）处理后车间无组织排放，参考《排放源统计调查产排污核算方法和系数手册》中211木质家具制造行业系数手册，实木、人造板材机加工过程中颗粒物污染物的产污系数为150克/立方米原料，本项目原料中需进行下料、板（木）材加工、打孔等机加工工序的原辅料为橡木和木材，合计2500m³/a，则项目粉尘产生量约为0.375t/a。各粉尘产生节点配套的集气装置废气收集效率约为80%，袋式过滤器净化效率可达 99%，则粉尘无组织排放量为0.078t/a，经带式过滤器净化收集的粉尘为0.297t/a，被收集的粉尘主要为木屑，做一般固废进行处置。本项目粉尘产排情况详见下表。</w:t>
      </w:r>
    </w:p>
    <w:p w14:paraId="68DC52CB">
      <w:pPr>
        <w:pStyle w:val="116"/>
        <w:numPr>
          <w:ilvl w:val="0"/>
          <w:numId w:val="22"/>
        </w:numPr>
        <w:spacing w:before="0" w:beforeLines="0"/>
        <w:ind w:left="0"/>
      </w:pPr>
      <w:r>
        <w:rPr>
          <w:rFonts w:hint="eastAsia"/>
          <w:lang w:val="en-US"/>
        </w:rPr>
        <w:t>项目粉尘产排</w:t>
      </w:r>
      <w:r>
        <w:rPr>
          <w:rFonts w:hint="eastAsia"/>
        </w:rPr>
        <w:t>情况</w:t>
      </w:r>
    </w:p>
    <w:tbl>
      <w:tblPr>
        <w:tblStyle w:val="8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1"/>
        <w:gridCol w:w="1591"/>
        <w:gridCol w:w="1281"/>
        <w:gridCol w:w="1054"/>
        <w:gridCol w:w="1056"/>
        <w:gridCol w:w="1591"/>
        <w:gridCol w:w="1592"/>
      </w:tblGrid>
      <w:tr w14:paraId="686D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pct"/>
            <w:vMerge w:val="restart"/>
            <w:vAlign w:val="center"/>
          </w:tcPr>
          <w:p w14:paraId="676135B9">
            <w:pPr>
              <w:adjustRightInd w:val="0"/>
              <w:snapToGrid w:val="0"/>
              <w:jc w:val="center"/>
              <w:rPr>
                <w:sz w:val="18"/>
                <w:szCs w:val="18"/>
              </w:rPr>
            </w:pPr>
            <w:r>
              <w:rPr>
                <w:rFonts w:hint="eastAsia"/>
                <w:sz w:val="18"/>
                <w:szCs w:val="18"/>
              </w:rPr>
              <w:t>废气种类</w:t>
            </w:r>
          </w:p>
        </w:tc>
        <w:tc>
          <w:tcPr>
            <w:tcW w:w="815" w:type="pct"/>
            <w:vMerge w:val="restart"/>
            <w:vAlign w:val="center"/>
          </w:tcPr>
          <w:p w14:paraId="1756DD57">
            <w:pPr>
              <w:adjustRightInd w:val="0"/>
              <w:snapToGrid w:val="0"/>
              <w:jc w:val="center"/>
              <w:rPr>
                <w:sz w:val="18"/>
                <w:szCs w:val="18"/>
              </w:rPr>
            </w:pPr>
            <w:r>
              <w:rPr>
                <w:rFonts w:hint="eastAsia"/>
                <w:sz w:val="18"/>
                <w:szCs w:val="18"/>
              </w:rPr>
              <w:t>排放方式</w:t>
            </w:r>
          </w:p>
        </w:tc>
        <w:tc>
          <w:tcPr>
            <w:tcW w:w="656" w:type="pct"/>
            <w:vAlign w:val="center"/>
          </w:tcPr>
          <w:p w14:paraId="7A7611FE">
            <w:pPr>
              <w:adjustRightInd w:val="0"/>
              <w:snapToGrid w:val="0"/>
              <w:jc w:val="center"/>
              <w:rPr>
                <w:sz w:val="18"/>
                <w:szCs w:val="18"/>
              </w:rPr>
            </w:pPr>
            <w:r>
              <w:rPr>
                <w:rFonts w:hint="eastAsia"/>
                <w:sz w:val="18"/>
                <w:szCs w:val="18"/>
              </w:rPr>
              <w:t>产生量</w:t>
            </w:r>
          </w:p>
        </w:tc>
        <w:tc>
          <w:tcPr>
            <w:tcW w:w="1081" w:type="pct"/>
            <w:gridSpan w:val="2"/>
            <w:vAlign w:val="center"/>
          </w:tcPr>
          <w:p w14:paraId="1E9D30BE">
            <w:pPr>
              <w:adjustRightInd w:val="0"/>
              <w:snapToGrid w:val="0"/>
              <w:jc w:val="center"/>
              <w:rPr>
                <w:sz w:val="18"/>
                <w:szCs w:val="18"/>
              </w:rPr>
            </w:pPr>
            <w:r>
              <w:rPr>
                <w:rFonts w:hint="eastAsia"/>
                <w:sz w:val="18"/>
                <w:szCs w:val="18"/>
              </w:rPr>
              <w:t>排放量</w:t>
            </w:r>
          </w:p>
        </w:tc>
        <w:tc>
          <w:tcPr>
            <w:tcW w:w="815" w:type="pct"/>
            <w:vAlign w:val="center"/>
          </w:tcPr>
          <w:p w14:paraId="0F63990E">
            <w:pPr>
              <w:adjustRightInd w:val="0"/>
              <w:snapToGrid w:val="0"/>
              <w:jc w:val="center"/>
              <w:rPr>
                <w:sz w:val="18"/>
                <w:szCs w:val="18"/>
              </w:rPr>
            </w:pPr>
            <w:r>
              <w:rPr>
                <w:rFonts w:hint="eastAsia"/>
                <w:sz w:val="18"/>
                <w:szCs w:val="18"/>
              </w:rPr>
              <w:t>去除效率</w:t>
            </w:r>
          </w:p>
        </w:tc>
        <w:tc>
          <w:tcPr>
            <w:tcW w:w="815" w:type="pct"/>
            <w:vAlign w:val="center"/>
          </w:tcPr>
          <w:p w14:paraId="7AF3721E">
            <w:pPr>
              <w:adjustRightInd w:val="0"/>
              <w:snapToGrid w:val="0"/>
              <w:jc w:val="center"/>
              <w:rPr>
                <w:sz w:val="18"/>
                <w:szCs w:val="18"/>
              </w:rPr>
            </w:pPr>
            <w:r>
              <w:rPr>
                <w:rFonts w:hint="eastAsia"/>
                <w:sz w:val="18"/>
                <w:szCs w:val="18"/>
              </w:rPr>
              <w:t>排放时间</w:t>
            </w:r>
          </w:p>
        </w:tc>
      </w:tr>
      <w:tr w14:paraId="65E1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pct"/>
            <w:vMerge w:val="continue"/>
            <w:vAlign w:val="center"/>
          </w:tcPr>
          <w:p w14:paraId="5B2CE0D9">
            <w:pPr>
              <w:adjustRightInd w:val="0"/>
              <w:snapToGrid w:val="0"/>
              <w:jc w:val="center"/>
              <w:rPr>
                <w:sz w:val="18"/>
                <w:szCs w:val="18"/>
              </w:rPr>
            </w:pPr>
          </w:p>
        </w:tc>
        <w:tc>
          <w:tcPr>
            <w:tcW w:w="815" w:type="pct"/>
            <w:vMerge w:val="continue"/>
            <w:vAlign w:val="center"/>
          </w:tcPr>
          <w:p w14:paraId="63BAC018">
            <w:pPr>
              <w:adjustRightInd w:val="0"/>
              <w:snapToGrid w:val="0"/>
              <w:jc w:val="center"/>
              <w:rPr>
                <w:sz w:val="18"/>
                <w:szCs w:val="18"/>
              </w:rPr>
            </w:pPr>
          </w:p>
        </w:tc>
        <w:tc>
          <w:tcPr>
            <w:tcW w:w="656" w:type="pct"/>
            <w:vAlign w:val="center"/>
          </w:tcPr>
          <w:p w14:paraId="0E683BB4">
            <w:pPr>
              <w:adjustRightInd w:val="0"/>
              <w:snapToGrid w:val="0"/>
              <w:jc w:val="center"/>
              <w:rPr>
                <w:sz w:val="18"/>
                <w:szCs w:val="18"/>
              </w:rPr>
            </w:pPr>
            <w:r>
              <w:rPr>
                <w:rFonts w:hint="eastAsia"/>
                <w:sz w:val="18"/>
                <w:szCs w:val="18"/>
              </w:rPr>
              <w:t>t/a</w:t>
            </w:r>
          </w:p>
        </w:tc>
        <w:tc>
          <w:tcPr>
            <w:tcW w:w="540" w:type="pct"/>
            <w:vAlign w:val="center"/>
          </w:tcPr>
          <w:p w14:paraId="4FC719D8">
            <w:pPr>
              <w:adjustRightInd w:val="0"/>
              <w:snapToGrid w:val="0"/>
              <w:jc w:val="center"/>
              <w:rPr>
                <w:sz w:val="18"/>
                <w:szCs w:val="18"/>
              </w:rPr>
            </w:pPr>
            <w:r>
              <w:rPr>
                <w:rFonts w:hint="eastAsia"/>
                <w:sz w:val="18"/>
                <w:szCs w:val="18"/>
              </w:rPr>
              <w:t>t/a</w:t>
            </w:r>
          </w:p>
        </w:tc>
        <w:tc>
          <w:tcPr>
            <w:tcW w:w="541" w:type="pct"/>
            <w:vAlign w:val="center"/>
          </w:tcPr>
          <w:p w14:paraId="243748D0">
            <w:pPr>
              <w:adjustRightInd w:val="0"/>
              <w:snapToGrid w:val="0"/>
              <w:jc w:val="center"/>
              <w:rPr>
                <w:sz w:val="18"/>
                <w:szCs w:val="18"/>
              </w:rPr>
            </w:pPr>
            <w:r>
              <w:rPr>
                <w:rFonts w:hint="eastAsia"/>
                <w:sz w:val="18"/>
                <w:szCs w:val="18"/>
              </w:rPr>
              <w:t>kg/h</w:t>
            </w:r>
          </w:p>
        </w:tc>
        <w:tc>
          <w:tcPr>
            <w:tcW w:w="815" w:type="pct"/>
            <w:vAlign w:val="center"/>
          </w:tcPr>
          <w:p w14:paraId="77F12921">
            <w:pPr>
              <w:adjustRightInd w:val="0"/>
              <w:snapToGrid w:val="0"/>
              <w:jc w:val="center"/>
              <w:rPr>
                <w:sz w:val="18"/>
                <w:szCs w:val="18"/>
              </w:rPr>
            </w:pPr>
            <w:r>
              <w:rPr>
                <w:rFonts w:hint="eastAsia"/>
                <w:sz w:val="18"/>
                <w:szCs w:val="18"/>
              </w:rPr>
              <w:t>%</w:t>
            </w:r>
          </w:p>
        </w:tc>
        <w:tc>
          <w:tcPr>
            <w:tcW w:w="815" w:type="pct"/>
            <w:vAlign w:val="center"/>
          </w:tcPr>
          <w:p w14:paraId="79C3C175">
            <w:pPr>
              <w:adjustRightInd w:val="0"/>
              <w:snapToGrid w:val="0"/>
              <w:jc w:val="center"/>
              <w:rPr>
                <w:sz w:val="18"/>
                <w:szCs w:val="18"/>
              </w:rPr>
            </w:pPr>
            <w:r>
              <w:rPr>
                <w:rFonts w:hint="eastAsia"/>
                <w:sz w:val="18"/>
                <w:szCs w:val="18"/>
              </w:rPr>
              <w:t>h</w:t>
            </w:r>
          </w:p>
        </w:tc>
      </w:tr>
      <w:tr w14:paraId="3BCD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pct"/>
            <w:vAlign w:val="center"/>
          </w:tcPr>
          <w:p w14:paraId="1D459B01">
            <w:pPr>
              <w:adjustRightInd w:val="0"/>
              <w:snapToGrid w:val="0"/>
              <w:jc w:val="center"/>
              <w:rPr>
                <w:sz w:val="18"/>
                <w:szCs w:val="18"/>
              </w:rPr>
            </w:pPr>
            <w:r>
              <w:rPr>
                <w:rFonts w:hint="eastAsia"/>
                <w:sz w:val="18"/>
                <w:szCs w:val="18"/>
              </w:rPr>
              <w:t>粉尘</w:t>
            </w:r>
          </w:p>
        </w:tc>
        <w:tc>
          <w:tcPr>
            <w:tcW w:w="815" w:type="pct"/>
            <w:vAlign w:val="center"/>
          </w:tcPr>
          <w:p w14:paraId="12582685">
            <w:pPr>
              <w:adjustRightInd w:val="0"/>
              <w:snapToGrid w:val="0"/>
              <w:jc w:val="center"/>
              <w:rPr>
                <w:sz w:val="18"/>
                <w:szCs w:val="18"/>
              </w:rPr>
            </w:pPr>
            <w:r>
              <w:rPr>
                <w:rFonts w:hint="eastAsia"/>
                <w:sz w:val="18"/>
                <w:szCs w:val="18"/>
              </w:rPr>
              <w:t>无组织</w:t>
            </w:r>
          </w:p>
        </w:tc>
        <w:tc>
          <w:tcPr>
            <w:tcW w:w="656" w:type="pct"/>
            <w:vAlign w:val="center"/>
          </w:tcPr>
          <w:p w14:paraId="5ACA75C9">
            <w:pPr>
              <w:adjustRightInd w:val="0"/>
              <w:snapToGrid w:val="0"/>
              <w:jc w:val="center"/>
              <w:rPr>
                <w:sz w:val="18"/>
                <w:szCs w:val="18"/>
              </w:rPr>
            </w:pPr>
            <w:r>
              <w:rPr>
                <w:rFonts w:hint="eastAsia"/>
                <w:sz w:val="18"/>
                <w:szCs w:val="18"/>
              </w:rPr>
              <w:t>0.375</w:t>
            </w:r>
          </w:p>
        </w:tc>
        <w:tc>
          <w:tcPr>
            <w:tcW w:w="540" w:type="pct"/>
            <w:vAlign w:val="center"/>
          </w:tcPr>
          <w:p w14:paraId="24158613">
            <w:pPr>
              <w:adjustRightInd w:val="0"/>
              <w:snapToGrid w:val="0"/>
              <w:jc w:val="center"/>
              <w:rPr>
                <w:sz w:val="18"/>
                <w:szCs w:val="18"/>
              </w:rPr>
            </w:pPr>
            <w:r>
              <w:rPr>
                <w:rFonts w:hint="eastAsia"/>
                <w:sz w:val="18"/>
                <w:szCs w:val="18"/>
              </w:rPr>
              <w:t>0.078</w:t>
            </w:r>
          </w:p>
        </w:tc>
        <w:tc>
          <w:tcPr>
            <w:tcW w:w="541" w:type="pct"/>
            <w:vAlign w:val="center"/>
          </w:tcPr>
          <w:p w14:paraId="68C54983">
            <w:pPr>
              <w:adjustRightInd w:val="0"/>
              <w:snapToGrid w:val="0"/>
              <w:jc w:val="center"/>
              <w:rPr>
                <w:sz w:val="18"/>
                <w:szCs w:val="18"/>
              </w:rPr>
            </w:pPr>
            <w:r>
              <w:rPr>
                <w:rFonts w:hint="eastAsia"/>
                <w:sz w:val="18"/>
                <w:szCs w:val="18"/>
              </w:rPr>
              <w:t>0.0325</w:t>
            </w:r>
          </w:p>
        </w:tc>
        <w:tc>
          <w:tcPr>
            <w:tcW w:w="815" w:type="pct"/>
            <w:vAlign w:val="center"/>
          </w:tcPr>
          <w:p w14:paraId="73A212C9">
            <w:pPr>
              <w:adjustRightInd w:val="0"/>
              <w:snapToGrid w:val="0"/>
              <w:jc w:val="center"/>
              <w:rPr>
                <w:sz w:val="18"/>
                <w:szCs w:val="18"/>
              </w:rPr>
            </w:pPr>
            <w:r>
              <w:rPr>
                <w:rFonts w:hint="eastAsia"/>
                <w:sz w:val="18"/>
                <w:szCs w:val="18"/>
              </w:rPr>
              <w:t>99</w:t>
            </w:r>
          </w:p>
        </w:tc>
        <w:tc>
          <w:tcPr>
            <w:tcW w:w="815" w:type="pct"/>
            <w:vAlign w:val="center"/>
          </w:tcPr>
          <w:p w14:paraId="2BB78DF3">
            <w:pPr>
              <w:adjustRightInd w:val="0"/>
              <w:snapToGrid w:val="0"/>
              <w:jc w:val="center"/>
              <w:rPr>
                <w:sz w:val="18"/>
                <w:szCs w:val="18"/>
              </w:rPr>
            </w:pPr>
            <w:r>
              <w:rPr>
                <w:rFonts w:hint="eastAsia"/>
                <w:sz w:val="18"/>
                <w:szCs w:val="18"/>
              </w:rPr>
              <w:t>2400</w:t>
            </w:r>
          </w:p>
        </w:tc>
      </w:tr>
    </w:tbl>
    <w:p w14:paraId="5362CF4C">
      <w:pPr>
        <w:adjustRightInd w:val="0"/>
        <w:snapToGrid w:val="0"/>
        <w:spacing w:line="360" w:lineRule="auto"/>
        <w:ind w:firstLine="480" w:firstLineChars="200"/>
        <w:rPr>
          <w:rFonts w:hint="eastAsia"/>
          <w:sz w:val="24"/>
          <w:szCs w:val="24"/>
        </w:rPr>
      </w:pPr>
      <w:r>
        <w:rPr>
          <w:rFonts w:hint="eastAsia"/>
          <w:sz w:val="24"/>
          <w:szCs w:val="24"/>
        </w:rPr>
        <w:t>2）胶水废气（G4）</w:t>
      </w:r>
    </w:p>
    <w:p w14:paraId="10B771CD">
      <w:pPr>
        <w:adjustRightInd w:val="0"/>
        <w:snapToGrid w:val="0"/>
        <w:spacing w:line="360" w:lineRule="auto"/>
        <w:ind w:firstLine="480" w:firstLineChars="200"/>
        <w:rPr>
          <w:sz w:val="24"/>
          <w:szCs w:val="24"/>
        </w:rPr>
      </w:pPr>
      <w:r>
        <w:rPr>
          <w:rFonts w:hint="eastAsia"/>
          <w:sz w:val="24"/>
          <w:szCs w:val="24"/>
        </w:rPr>
        <w:t>本项目胶水废气来源于组装过程使用的白胶。本次项目将使用水性白胶，主要成分是醋酸乙烯酯，含有少量游离甲醛（1‰）、甲苯（5‰）等，由于甲醛（1‰）、甲苯（5‰）含量较低，本环评中不再对甲醛、甲苯污染物进行评价。本项目白胶中醋酸乙烯酯含量为8%，则白胶中的挥发性有机物含量占比约为8.6%，白胶年用量为1.0t/a，则白胶使用过程中挥发性有机物的产生量为0.086t/a（即0.036kg/h），其中醋酸乙烯酯约0.08t/a（即0.033kg/h）（年作业以300d计，日作业以8h计）、甲苯约0.005t/a（即0.002kg/h）（年作业以300d计，日作业以8h计)、甲醛约0.001t/a（即0.0004kg/h）（年作业以300d计，日作业以8h计)。废气产生后车间内无组织排放。</w:t>
      </w:r>
    </w:p>
    <w:p w14:paraId="68957B1F">
      <w:pPr>
        <w:adjustRightInd w:val="0"/>
        <w:snapToGrid w:val="0"/>
        <w:spacing w:line="360" w:lineRule="auto"/>
        <w:ind w:firstLine="480" w:firstLineChars="200"/>
        <w:rPr>
          <w:sz w:val="24"/>
          <w:szCs w:val="24"/>
        </w:rPr>
      </w:pPr>
      <w:r>
        <w:rPr>
          <w:rFonts w:hint="eastAsia"/>
          <w:sz w:val="24"/>
          <w:szCs w:val="24"/>
        </w:rPr>
        <w:t>3）油漆废气（G5）</w:t>
      </w:r>
    </w:p>
    <w:p w14:paraId="49A13033">
      <w:pPr>
        <w:adjustRightInd w:val="0"/>
        <w:snapToGrid w:val="0"/>
        <w:spacing w:line="360" w:lineRule="auto"/>
        <w:ind w:firstLine="480" w:firstLineChars="200"/>
        <w:rPr>
          <w:rFonts w:hint="eastAsia"/>
          <w:sz w:val="24"/>
          <w:szCs w:val="24"/>
        </w:rPr>
      </w:pPr>
      <w:r>
        <w:rPr>
          <w:sz w:val="24"/>
          <w:szCs w:val="24"/>
        </w:rPr>
        <w:t>项目</w:t>
      </w:r>
      <w:r>
        <w:rPr>
          <w:rFonts w:hint="eastAsia"/>
          <w:sz w:val="24"/>
          <w:szCs w:val="24"/>
        </w:rPr>
        <w:t>家具、宠物家具产生生产过程中根据订单及客户需求，部分家具需进行喷漆，本次项目设施有2个喷漆间，1个晾干间，喷漆间内设置有水帘柜</w:t>
      </w:r>
      <w:r>
        <w:rPr>
          <w:rFonts w:hint="eastAsia"/>
          <w:sz w:val="24"/>
          <w:szCs w:val="24"/>
          <w:lang w:eastAsia="zh-CN"/>
        </w:rPr>
        <w:t>，</w:t>
      </w:r>
      <w:r>
        <w:rPr>
          <w:rFonts w:hint="eastAsia"/>
          <w:sz w:val="24"/>
          <w:szCs w:val="24"/>
          <w:lang w:val="en-US" w:eastAsia="zh-CN"/>
        </w:rPr>
        <w:t>用于除漆雾</w:t>
      </w:r>
      <w:r>
        <w:rPr>
          <w:rFonts w:hint="eastAsia"/>
          <w:sz w:val="24"/>
          <w:szCs w:val="24"/>
        </w:rPr>
        <w:t>，喷漆间和晾干间全部采用密闭负压收集，废气经收集后接入1套“两级活性炭”吸附装置处理后经1根不低于</w:t>
      </w:r>
      <w:r>
        <w:rPr>
          <w:rFonts w:hint="eastAsia"/>
          <w:sz w:val="24"/>
          <w:szCs w:val="24"/>
          <w:lang w:val="en-US" w:eastAsia="zh-CN"/>
        </w:rPr>
        <w:t>25</w:t>
      </w:r>
      <w:r>
        <w:rPr>
          <w:rFonts w:hint="eastAsia"/>
          <w:sz w:val="24"/>
          <w:szCs w:val="24"/>
        </w:rPr>
        <w:t>m高排气筒高空排放。</w:t>
      </w:r>
    </w:p>
    <w:p w14:paraId="47C2E97F">
      <w:pPr>
        <w:adjustRightInd w:val="0"/>
        <w:snapToGrid w:val="0"/>
        <w:spacing w:line="360" w:lineRule="auto"/>
        <w:ind w:firstLine="480" w:firstLineChars="200"/>
        <w:rPr>
          <w:sz w:val="24"/>
          <w:szCs w:val="24"/>
        </w:rPr>
      </w:pPr>
      <w:r>
        <w:rPr>
          <w:rFonts w:hint="eastAsia"/>
          <w:sz w:val="24"/>
          <w:szCs w:val="24"/>
        </w:rPr>
        <w:t>本次项目使用的均为水性漆</w:t>
      </w:r>
      <w:r>
        <w:rPr>
          <w:rFonts w:hint="eastAsia"/>
          <w:sz w:val="24"/>
          <w:szCs w:val="24"/>
          <w:lang w:eastAsia="zh-CN"/>
        </w:rPr>
        <w:t>，</w:t>
      </w:r>
      <w:r>
        <w:rPr>
          <w:rFonts w:hint="eastAsia"/>
          <w:sz w:val="24"/>
          <w:szCs w:val="24"/>
          <w:lang w:val="en-US" w:eastAsia="zh-CN"/>
        </w:rPr>
        <w:t>对照《低挥发性有机化合物含量涂料产品技术要求》（GB_T 38597-2020）木器涂料色漆VOC含量的要求限量值为≤220g/L</w:t>
      </w:r>
      <w:r>
        <w:rPr>
          <w:rFonts w:hint="eastAsia"/>
          <w:sz w:val="24"/>
          <w:szCs w:val="24"/>
        </w:rPr>
        <w:t>，根据本次拟使用的油漆的VOCs检测报告（详见附件2）</w:t>
      </w:r>
      <w:r>
        <w:rPr>
          <w:rFonts w:hint="eastAsia"/>
          <w:sz w:val="24"/>
          <w:szCs w:val="24"/>
          <w:lang w:val="en-US" w:eastAsia="zh-CN"/>
        </w:rPr>
        <w:t>可以判断本项目使用的水性漆属于低挥发性有机化合物含量涂料，原料主要组分MSDS（详见附件3）</w:t>
      </w:r>
      <w:r>
        <w:rPr>
          <w:rFonts w:hint="eastAsia"/>
          <w:sz w:val="24"/>
          <w:szCs w:val="24"/>
        </w:rPr>
        <w:t>。</w:t>
      </w:r>
    </w:p>
    <w:p w14:paraId="1B84863B">
      <w:pPr>
        <w:pStyle w:val="116"/>
        <w:numPr>
          <w:ilvl w:val="0"/>
          <w:numId w:val="22"/>
        </w:numPr>
        <w:spacing w:before="0" w:beforeLines="0"/>
        <w:ind w:left="0"/>
      </w:pPr>
      <w:r>
        <w:rPr>
          <w:rFonts w:hint="eastAsia"/>
          <w:sz w:val="24"/>
          <w:szCs w:val="24"/>
          <w:lang w:val="en-US"/>
        </w:rPr>
        <w:t>所用油漆成分及含量</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4652"/>
        <w:gridCol w:w="1826"/>
        <w:gridCol w:w="1826"/>
      </w:tblGrid>
      <w:tr w14:paraId="5D2C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tcPr>
          <w:p w14:paraId="461E37C9">
            <w:pPr>
              <w:adjustRightInd w:val="0"/>
              <w:snapToGrid w:val="0"/>
              <w:jc w:val="center"/>
              <w:rPr>
                <w:sz w:val="18"/>
                <w:szCs w:val="18"/>
              </w:rPr>
            </w:pPr>
            <w:r>
              <w:rPr>
                <w:rFonts w:hint="eastAsia"/>
                <w:sz w:val="18"/>
                <w:szCs w:val="18"/>
              </w:rPr>
              <w:t>序号</w:t>
            </w:r>
          </w:p>
        </w:tc>
        <w:tc>
          <w:tcPr>
            <w:tcW w:w="4652" w:type="dxa"/>
          </w:tcPr>
          <w:p w14:paraId="104EF642">
            <w:pPr>
              <w:adjustRightInd w:val="0"/>
              <w:snapToGrid w:val="0"/>
              <w:jc w:val="center"/>
              <w:rPr>
                <w:sz w:val="18"/>
                <w:szCs w:val="18"/>
              </w:rPr>
            </w:pPr>
            <w:r>
              <w:rPr>
                <w:rFonts w:hint="eastAsia"/>
                <w:sz w:val="18"/>
                <w:szCs w:val="18"/>
              </w:rPr>
              <w:t>成分</w:t>
            </w:r>
          </w:p>
        </w:tc>
        <w:tc>
          <w:tcPr>
            <w:tcW w:w="1826" w:type="dxa"/>
          </w:tcPr>
          <w:p w14:paraId="404A0C75">
            <w:pPr>
              <w:adjustRightInd w:val="0"/>
              <w:snapToGrid w:val="0"/>
              <w:jc w:val="center"/>
              <w:rPr>
                <w:sz w:val="18"/>
                <w:szCs w:val="18"/>
              </w:rPr>
            </w:pPr>
            <w:r>
              <w:rPr>
                <w:rFonts w:hint="eastAsia"/>
                <w:sz w:val="18"/>
                <w:szCs w:val="18"/>
              </w:rPr>
              <w:t>含量</w:t>
            </w:r>
          </w:p>
        </w:tc>
        <w:tc>
          <w:tcPr>
            <w:tcW w:w="1826" w:type="dxa"/>
          </w:tcPr>
          <w:p w14:paraId="36729A0A">
            <w:pPr>
              <w:adjustRightInd w:val="0"/>
              <w:snapToGrid w:val="0"/>
              <w:jc w:val="center"/>
              <w:rPr>
                <w:rFonts w:hint="eastAsia" w:eastAsia="宋体"/>
                <w:sz w:val="18"/>
                <w:szCs w:val="18"/>
                <w:lang w:val="en-US" w:eastAsia="zh-CN"/>
              </w:rPr>
            </w:pPr>
            <w:r>
              <w:rPr>
                <w:rFonts w:hint="eastAsia"/>
                <w:sz w:val="18"/>
                <w:szCs w:val="18"/>
                <w:lang w:val="en-US" w:eastAsia="zh-CN"/>
              </w:rPr>
              <w:t>数据来源</w:t>
            </w:r>
          </w:p>
        </w:tc>
      </w:tr>
      <w:tr w14:paraId="58DC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tcPr>
          <w:p w14:paraId="0E19E564">
            <w:pPr>
              <w:adjustRightInd w:val="0"/>
              <w:snapToGrid w:val="0"/>
              <w:jc w:val="center"/>
              <w:rPr>
                <w:sz w:val="18"/>
                <w:szCs w:val="18"/>
              </w:rPr>
            </w:pPr>
            <w:r>
              <w:rPr>
                <w:rFonts w:hint="eastAsia"/>
                <w:sz w:val="18"/>
                <w:szCs w:val="18"/>
              </w:rPr>
              <w:t>1</w:t>
            </w:r>
          </w:p>
        </w:tc>
        <w:tc>
          <w:tcPr>
            <w:tcW w:w="4652" w:type="dxa"/>
          </w:tcPr>
          <w:p w14:paraId="1281D51E">
            <w:pPr>
              <w:adjustRightInd w:val="0"/>
              <w:snapToGrid w:val="0"/>
              <w:jc w:val="center"/>
              <w:rPr>
                <w:sz w:val="18"/>
                <w:szCs w:val="18"/>
              </w:rPr>
            </w:pPr>
            <w:r>
              <w:rPr>
                <w:rFonts w:hint="eastAsia"/>
                <w:sz w:val="18"/>
                <w:szCs w:val="18"/>
              </w:rPr>
              <w:t>VOCs</w:t>
            </w:r>
          </w:p>
        </w:tc>
        <w:tc>
          <w:tcPr>
            <w:tcW w:w="1826" w:type="dxa"/>
          </w:tcPr>
          <w:p w14:paraId="19D9A4AF">
            <w:pPr>
              <w:adjustRightInd w:val="0"/>
              <w:snapToGrid w:val="0"/>
              <w:jc w:val="center"/>
              <w:rPr>
                <w:sz w:val="18"/>
                <w:szCs w:val="18"/>
              </w:rPr>
            </w:pPr>
            <w:r>
              <w:rPr>
                <w:rFonts w:hint="eastAsia"/>
                <w:sz w:val="18"/>
                <w:szCs w:val="18"/>
              </w:rPr>
              <w:t>104g/L</w:t>
            </w:r>
          </w:p>
        </w:tc>
        <w:tc>
          <w:tcPr>
            <w:tcW w:w="1826" w:type="dxa"/>
            <w:vMerge w:val="restart"/>
            <w:vAlign w:val="center"/>
          </w:tcPr>
          <w:p w14:paraId="7864AB50">
            <w:pPr>
              <w:adjustRightInd w:val="0"/>
              <w:snapToGrid w:val="0"/>
              <w:jc w:val="center"/>
              <w:rPr>
                <w:rFonts w:hint="eastAsia"/>
                <w:sz w:val="18"/>
                <w:szCs w:val="18"/>
              </w:rPr>
            </w:pPr>
            <w:r>
              <w:rPr>
                <w:rFonts w:hint="eastAsia"/>
                <w:sz w:val="18"/>
                <w:szCs w:val="18"/>
              </w:rPr>
              <w:t>VOCs检测报告</w:t>
            </w:r>
          </w:p>
        </w:tc>
      </w:tr>
      <w:tr w14:paraId="05FA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tcPr>
          <w:p w14:paraId="19A0AFFF">
            <w:pPr>
              <w:adjustRightInd w:val="0"/>
              <w:snapToGrid w:val="0"/>
              <w:jc w:val="center"/>
              <w:rPr>
                <w:sz w:val="18"/>
                <w:szCs w:val="18"/>
              </w:rPr>
            </w:pPr>
            <w:r>
              <w:rPr>
                <w:rFonts w:hint="eastAsia"/>
                <w:sz w:val="18"/>
                <w:szCs w:val="18"/>
              </w:rPr>
              <w:t>2</w:t>
            </w:r>
          </w:p>
        </w:tc>
        <w:tc>
          <w:tcPr>
            <w:tcW w:w="4652" w:type="dxa"/>
          </w:tcPr>
          <w:p w14:paraId="448C7B50">
            <w:pPr>
              <w:adjustRightInd w:val="0"/>
              <w:snapToGrid w:val="0"/>
              <w:jc w:val="center"/>
              <w:rPr>
                <w:sz w:val="18"/>
                <w:szCs w:val="18"/>
              </w:rPr>
            </w:pPr>
            <w:r>
              <w:rPr>
                <w:rFonts w:hint="eastAsia"/>
                <w:sz w:val="18"/>
                <w:szCs w:val="18"/>
              </w:rPr>
              <w:t>苯及苯系物</w:t>
            </w:r>
          </w:p>
        </w:tc>
        <w:tc>
          <w:tcPr>
            <w:tcW w:w="1826" w:type="dxa"/>
          </w:tcPr>
          <w:p w14:paraId="5C63964F">
            <w:pPr>
              <w:adjustRightInd w:val="0"/>
              <w:snapToGrid w:val="0"/>
              <w:jc w:val="center"/>
              <w:rPr>
                <w:sz w:val="18"/>
                <w:szCs w:val="18"/>
              </w:rPr>
            </w:pPr>
            <w:r>
              <w:rPr>
                <w:rFonts w:hint="eastAsia"/>
                <w:sz w:val="18"/>
                <w:szCs w:val="18"/>
              </w:rPr>
              <w:t>未检出</w:t>
            </w:r>
          </w:p>
        </w:tc>
        <w:tc>
          <w:tcPr>
            <w:tcW w:w="1826" w:type="dxa"/>
            <w:vMerge w:val="continue"/>
          </w:tcPr>
          <w:p w14:paraId="7E92231C">
            <w:pPr>
              <w:adjustRightInd w:val="0"/>
              <w:snapToGrid w:val="0"/>
              <w:jc w:val="center"/>
              <w:rPr>
                <w:rFonts w:hint="eastAsia"/>
                <w:sz w:val="18"/>
                <w:szCs w:val="18"/>
              </w:rPr>
            </w:pPr>
          </w:p>
        </w:tc>
      </w:tr>
      <w:tr w14:paraId="5233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tcPr>
          <w:p w14:paraId="1A69D04E">
            <w:pPr>
              <w:adjustRightInd w:val="0"/>
              <w:snapToGrid w:val="0"/>
              <w:jc w:val="center"/>
              <w:rPr>
                <w:sz w:val="18"/>
                <w:szCs w:val="18"/>
              </w:rPr>
            </w:pPr>
            <w:r>
              <w:rPr>
                <w:rFonts w:hint="eastAsia"/>
                <w:sz w:val="18"/>
                <w:szCs w:val="18"/>
              </w:rPr>
              <w:t>3</w:t>
            </w:r>
          </w:p>
        </w:tc>
        <w:tc>
          <w:tcPr>
            <w:tcW w:w="4652" w:type="dxa"/>
          </w:tcPr>
          <w:p w14:paraId="6868ED84">
            <w:pPr>
              <w:adjustRightInd w:val="0"/>
              <w:snapToGrid w:val="0"/>
              <w:jc w:val="center"/>
              <w:rPr>
                <w:sz w:val="18"/>
                <w:szCs w:val="18"/>
              </w:rPr>
            </w:pPr>
            <w:r>
              <w:rPr>
                <w:rFonts w:hint="eastAsia"/>
                <w:sz w:val="18"/>
                <w:szCs w:val="18"/>
              </w:rPr>
              <w:t>游离甲醛</w:t>
            </w:r>
          </w:p>
        </w:tc>
        <w:tc>
          <w:tcPr>
            <w:tcW w:w="1826" w:type="dxa"/>
          </w:tcPr>
          <w:p w14:paraId="1C6CCF1A">
            <w:pPr>
              <w:adjustRightInd w:val="0"/>
              <w:snapToGrid w:val="0"/>
              <w:jc w:val="center"/>
              <w:rPr>
                <w:sz w:val="18"/>
                <w:szCs w:val="18"/>
              </w:rPr>
            </w:pPr>
            <w:r>
              <w:rPr>
                <w:rFonts w:hint="eastAsia"/>
                <w:sz w:val="18"/>
                <w:szCs w:val="18"/>
              </w:rPr>
              <w:t>未检出</w:t>
            </w:r>
          </w:p>
        </w:tc>
        <w:tc>
          <w:tcPr>
            <w:tcW w:w="1826" w:type="dxa"/>
            <w:vMerge w:val="continue"/>
          </w:tcPr>
          <w:p w14:paraId="49BD62AF">
            <w:pPr>
              <w:adjustRightInd w:val="0"/>
              <w:snapToGrid w:val="0"/>
              <w:jc w:val="center"/>
              <w:rPr>
                <w:rFonts w:hint="eastAsia"/>
                <w:sz w:val="18"/>
                <w:szCs w:val="18"/>
              </w:rPr>
            </w:pPr>
          </w:p>
        </w:tc>
      </w:tr>
      <w:tr w14:paraId="4ECE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tcPr>
          <w:p w14:paraId="7E1A2DA0">
            <w:pPr>
              <w:adjustRightInd w:val="0"/>
              <w:snapToGrid w:val="0"/>
              <w:jc w:val="center"/>
              <w:rPr>
                <w:sz w:val="18"/>
                <w:szCs w:val="18"/>
              </w:rPr>
            </w:pPr>
            <w:r>
              <w:rPr>
                <w:rFonts w:hint="eastAsia"/>
                <w:sz w:val="18"/>
                <w:szCs w:val="18"/>
              </w:rPr>
              <w:t>4</w:t>
            </w:r>
          </w:p>
        </w:tc>
        <w:tc>
          <w:tcPr>
            <w:tcW w:w="4652" w:type="dxa"/>
          </w:tcPr>
          <w:p w14:paraId="4D556084">
            <w:pPr>
              <w:adjustRightInd w:val="0"/>
              <w:snapToGrid w:val="0"/>
              <w:jc w:val="center"/>
              <w:rPr>
                <w:sz w:val="18"/>
                <w:szCs w:val="18"/>
              </w:rPr>
            </w:pPr>
            <w:r>
              <w:rPr>
                <w:rFonts w:hint="eastAsia"/>
                <w:sz w:val="18"/>
                <w:szCs w:val="18"/>
              </w:rPr>
              <w:t>各类酯、醚</w:t>
            </w:r>
          </w:p>
        </w:tc>
        <w:tc>
          <w:tcPr>
            <w:tcW w:w="1826" w:type="dxa"/>
          </w:tcPr>
          <w:p w14:paraId="5F647880">
            <w:pPr>
              <w:adjustRightInd w:val="0"/>
              <w:snapToGrid w:val="0"/>
              <w:jc w:val="center"/>
              <w:rPr>
                <w:sz w:val="18"/>
                <w:szCs w:val="18"/>
              </w:rPr>
            </w:pPr>
            <w:r>
              <w:rPr>
                <w:rFonts w:hint="eastAsia"/>
                <w:sz w:val="18"/>
                <w:szCs w:val="18"/>
              </w:rPr>
              <w:t>未检出</w:t>
            </w:r>
          </w:p>
        </w:tc>
        <w:tc>
          <w:tcPr>
            <w:tcW w:w="1826" w:type="dxa"/>
            <w:vMerge w:val="continue"/>
          </w:tcPr>
          <w:p w14:paraId="07FAC242">
            <w:pPr>
              <w:adjustRightInd w:val="0"/>
              <w:snapToGrid w:val="0"/>
              <w:jc w:val="center"/>
              <w:rPr>
                <w:rFonts w:hint="eastAsia"/>
                <w:sz w:val="18"/>
                <w:szCs w:val="18"/>
              </w:rPr>
            </w:pPr>
          </w:p>
        </w:tc>
      </w:tr>
      <w:tr w14:paraId="3DFB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vAlign w:val="center"/>
          </w:tcPr>
          <w:p w14:paraId="5D460D72">
            <w:pPr>
              <w:adjustRightInd w:val="0"/>
              <w:snapToGrid w:val="0"/>
              <w:jc w:val="center"/>
              <w:rPr>
                <w:rFonts w:hint="eastAsia" w:eastAsia="宋体"/>
                <w:sz w:val="18"/>
                <w:szCs w:val="18"/>
                <w:lang w:val="en-US" w:eastAsia="zh-CN"/>
              </w:rPr>
            </w:pPr>
            <w:r>
              <w:rPr>
                <w:rFonts w:hint="eastAsia"/>
                <w:sz w:val="18"/>
                <w:szCs w:val="18"/>
                <w:lang w:val="en-US" w:eastAsia="zh-CN"/>
              </w:rPr>
              <w:t>5</w:t>
            </w:r>
          </w:p>
        </w:tc>
        <w:tc>
          <w:tcPr>
            <w:tcW w:w="4652" w:type="dxa"/>
            <w:vAlign w:val="center"/>
          </w:tcPr>
          <w:p w14:paraId="4FAF194C">
            <w:pPr>
              <w:adjustRightInd w:val="0"/>
              <w:snapToGrid w:val="0"/>
              <w:jc w:val="center"/>
              <w:rPr>
                <w:rFonts w:hint="eastAsia" w:eastAsia="宋体"/>
                <w:sz w:val="18"/>
                <w:szCs w:val="18"/>
                <w:lang w:val="en-US" w:eastAsia="zh-CN"/>
              </w:rPr>
            </w:pPr>
            <w:r>
              <w:rPr>
                <w:rFonts w:hint="eastAsia"/>
                <w:sz w:val="18"/>
                <w:szCs w:val="18"/>
                <w:lang w:val="en-US" w:eastAsia="zh-CN"/>
              </w:rPr>
              <w:t>硬脂酸锌</w:t>
            </w:r>
          </w:p>
        </w:tc>
        <w:tc>
          <w:tcPr>
            <w:tcW w:w="1826" w:type="dxa"/>
            <w:vAlign w:val="center"/>
          </w:tcPr>
          <w:p w14:paraId="324B9C42">
            <w:pPr>
              <w:adjustRightInd w:val="0"/>
              <w:snapToGrid w:val="0"/>
              <w:jc w:val="center"/>
              <w:rPr>
                <w:rFonts w:hint="default" w:eastAsia="宋体"/>
                <w:sz w:val="18"/>
                <w:szCs w:val="18"/>
                <w:lang w:val="en-US" w:eastAsia="zh-CN"/>
              </w:rPr>
            </w:pPr>
            <w:r>
              <w:rPr>
                <w:rFonts w:hint="eastAsia"/>
                <w:sz w:val="18"/>
                <w:szCs w:val="18"/>
                <w:lang w:val="en-US" w:eastAsia="zh-CN"/>
              </w:rPr>
              <w:t>1%-3%</w:t>
            </w:r>
          </w:p>
        </w:tc>
        <w:tc>
          <w:tcPr>
            <w:tcW w:w="1826" w:type="dxa"/>
            <w:vMerge w:val="restart"/>
          </w:tcPr>
          <w:p w14:paraId="5882E09F">
            <w:pPr>
              <w:adjustRightInd w:val="0"/>
              <w:snapToGrid w:val="0"/>
              <w:jc w:val="center"/>
              <w:rPr>
                <w:rFonts w:hint="default" w:eastAsia="宋体"/>
                <w:sz w:val="18"/>
                <w:szCs w:val="18"/>
                <w:lang w:val="en-US" w:eastAsia="zh-CN"/>
              </w:rPr>
            </w:pPr>
            <w:r>
              <w:rPr>
                <w:rFonts w:hint="eastAsia"/>
                <w:sz w:val="18"/>
                <w:szCs w:val="18"/>
              </w:rPr>
              <w:t>双组份水性透明底漆</w:t>
            </w:r>
            <w:r>
              <w:rPr>
                <w:rFonts w:hint="eastAsia"/>
                <w:sz w:val="18"/>
                <w:szCs w:val="18"/>
                <w:lang w:val="en-US" w:eastAsia="zh-CN"/>
              </w:rPr>
              <w:t>安全技术说明书（MSDS）</w:t>
            </w:r>
          </w:p>
        </w:tc>
      </w:tr>
      <w:tr w14:paraId="2A37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dxa"/>
            <w:vAlign w:val="center"/>
          </w:tcPr>
          <w:p w14:paraId="67DDB7F4">
            <w:pPr>
              <w:adjustRightInd w:val="0"/>
              <w:snapToGrid w:val="0"/>
              <w:jc w:val="center"/>
              <w:rPr>
                <w:rFonts w:hint="default"/>
                <w:sz w:val="18"/>
                <w:szCs w:val="18"/>
                <w:lang w:val="en-US" w:eastAsia="zh-CN"/>
              </w:rPr>
            </w:pPr>
            <w:r>
              <w:rPr>
                <w:rFonts w:hint="eastAsia"/>
                <w:sz w:val="18"/>
                <w:szCs w:val="18"/>
                <w:lang w:val="en-US" w:eastAsia="zh-CN"/>
              </w:rPr>
              <w:t>6</w:t>
            </w:r>
          </w:p>
        </w:tc>
        <w:tc>
          <w:tcPr>
            <w:tcW w:w="4652" w:type="dxa"/>
            <w:vAlign w:val="center"/>
          </w:tcPr>
          <w:p w14:paraId="207374A9">
            <w:pPr>
              <w:adjustRightInd w:val="0"/>
              <w:snapToGrid w:val="0"/>
              <w:jc w:val="center"/>
              <w:rPr>
                <w:rFonts w:hint="default"/>
                <w:sz w:val="18"/>
                <w:szCs w:val="18"/>
                <w:lang w:val="en-US" w:eastAsia="zh-CN"/>
              </w:rPr>
            </w:pPr>
            <w:r>
              <w:rPr>
                <w:rFonts w:hint="eastAsia"/>
                <w:sz w:val="18"/>
                <w:szCs w:val="18"/>
                <w:lang w:val="en-US" w:eastAsia="zh-CN"/>
              </w:rPr>
              <w:t>氢氧化铵</w:t>
            </w:r>
          </w:p>
        </w:tc>
        <w:tc>
          <w:tcPr>
            <w:tcW w:w="1826" w:type="dxa"/>
            <w:vAlign w:val="center"/>
          </w:tcPr>
          <w:p w14:paraId="1B7B71D9">
            <w:pPr>
              <w:adjustRightInd w:val="0"/>
              <w:snapToGrid w:val="0"/>
              <w:jc w:val="center"/>
              <w:rPr>
                <w:rFonts w:hint="default"/>
                <w:sz w:val="18"/>
                <w:szCs w:val="18"/>
                <w:lang w:val="en-US" w:eastAsia="zh-CN"/>
              </w:rPr>
            </w:pPr>
            <w:r>
              <w:rPr>
                <w:rFonts w:hint="eastAsia"/>
                <w:sz w:val="18"/>
                <w:szCs w:val="18"/>
                <w:lang w:val="en-US" w:eastAsia="zh-CN"/>
              </w:rPr>
              <w:t>0.3%-1%</w:t>
            </w:r>
          </w:p>
        </w:tc>
        <w:tc>
          <w:tcPr>
            <w:tcW w:w="1826" w:type="dxa"/>
            <w:vMerge w:val="continue"/>
          </w:tcPr>
          <w:p w14:paraId="34937E4B">
            <w:pPr>
              <w:adjustRightInd w:val="0"/>
              <w:snapToGrid w:val="0"/>
              <w:jc w:val="center"/>
              <w:rPr>
                <w:rFonts w:hint="eastAsia"/>
                <w:sz w:val="18"/>
                <w:szCs w:val="18"/>
              </w:rPr>
            </w:pPr>
          </w:p>
        </w:tc>
      </w:tr>
    </w:tbl>
    <w:p w14:paraId="52EB09D1">
      <w:pPr>
        <w:adjustRightInd w:val="0"/>
        <w:snapToGrid w:val="0"/>
        <w:spacing w:line="360" w:lineRule="auto"/>
        <w:ind w:firstLine="480" w:firstLineChars="200"/>
        <w:rPr>
          <w:sz w:val="24"/>
          <w:szCs w:val="24"/>
        </w:rPr>
      </w:pPr>
      <w:r>
        <w:rPr>
          <w:sz w:val="24"/>
          <w:szCs w:val="24"/>
        </w:rPr>
        <w:t>本项目所用油漆为已调和</w:t>
      </w:r>
      <w:r>
        <w:rPr>
          <w:rFonts w:hint="eastAsia"/>
          <w:sz w:val="24"/>
          <w:szCs w:val="24"/>
        </w:rPr>
        <w:t>水性</w:t>
      </w:r>
      <w:r>
        <w:rPr>
          <w:sz w:val="24"/>
          <w:szCs w:val="24"/>
        </w:rPr>
        <w:t>漆，油漆密度按1.2kg</w:t>
      </w:r>
      <w:r>
        <w:rPr>
          <w:rFonts w:hint="eastAsia"/>
          <w:sz w:val="24"/>
          <w:szCs w:val="24"/>
        </w:rPr>
        <w:t>/L</w:t>
      </w:r>
      <w:r>
        <w:rPr>
          <w:sz w:val="24"/>
          <w:szCs w:val="24"/>
        </w:rPr>
        <w:t>计</w:t>
      </w:r>
      <w:r>
        <w:rPr>
          <w:rFonts w:hint="eastAsia"/>
          <w:sz w:val="24"/>
          <w:szCs w:val="24"/>
        </w:rPr>
        <w:t>，本项目设计年使用水性漆20t</w:t>
      </w:r>
      <w:r>
        <w:rPr>
          <w:sz w:val="24"/>
          <w:szCs w:val="24"/>
        </w:rPr>
        <w:t>，则</w:t>
      </w:r>
      <w:r>
        <w:rPr>
          <w:rFonts w:hint="eastAsia"/>
          <w:sz w:val="24"/>
          <w:szCs w:val="24"/>
        </w:rPr>
        <w:t>总</w:t>
      </w:r>
      <w:r>
        <w:rPr>
          <w:sz w:val="24"/>
          <w:szCs w:val="24"/>
        </w:rPr>
        <w:t>挥发性有机</w:t>
      </w:r>
      <w:r>
        <w:rPr>
          <w:rFonts w:hint="eastAsia"/>
          <w:sz w:val="24"/>
          <w:szCs w:val="24"/>
        </w:rPr>
        <w:t>物（TVOC）</w:t>
      </w:r>
      <w:r>
        <w:rPr>
          <w:sz w:val="24"/>
          <w:szCs w:val="24"/>
        </w:rPr>
        <w:t>污染物产生量约为</w:t>
      </w:r>
      <w:r>
        <w:rPr>
          <w:rFonts w:hint="eastAsia"/>
          <w:sz w:val="24"/>
          <w:szCs w:val="24"/>
        </w:rPr>
        <w:t>1.733</w:t>
      </w:r>
      <w:r>
        <w:rPr>
          <w:sz w:val="24"/>
          <w:szCs w:val="24"/>
        </w:rPr>
        <w:t>t</w:t>
      </w:r>
      <w:r>
        <w:rPr>
          <w:rFonts w:hint="eastAsia"/>
          <w:sz w:val="24"/>
          <w:szCs w:val="24"/>
        </w:rPr>
        <w:t>/</w:t>
      </w:r>
      <w:r>
        <w:rPr>
          <w:sz w:val="24"/>
          <w:szCs w:val="24"/>
        </w:rPr>
        <w:t>a。项目喷漆在封闭的水帘式喷漆房进行，喷后自然干燥。油漆废气经过水帘除漆装置后，雾化的漆转化为漆渣，极少部分有机废气形成浮渣</w:t>
      </w:r>
      <w:r>
        <w:rPr>
          <w:rFonts w:hint="eastAsia"/>
          <w:sz w:val="24"/>
          <w:szCs w:val="24"/>
        </w:rPr>
        <w:t>，捞出后</w:t>
      </w:r>
      <w:r>
        <w:rPr>
          <w:sz w:val="24"/>
          <w:szCs w:val="24"/>
        </w:rPr>
        <w:t>作为危险固废处置</w:t>
      </w:r>
      <w:r>
        <w:rPr>
          <w:rFonts w:hint="eastAsia"/>
          <w:sz w:val="24"/>
          <w:szCs w:val="24"/>
        </w:rPr>
        <w:t>，</w:t>
      </w:r>
      <w:r>
        <w:rPr>
          <w:sz w:val="24"/>
          <w:szCs w:val="24"/>
        </w:rPr>
        <w:t>其余有机废气沿水帘后方的引风管收集后经活性炭吸附装置处理后引至排气筒高空排放。该项目喷漆房</w:t>
      </w:r>
      <w:r>
        <w:rPr>
          <w:rFonts w:hint="eastAsia"/>
          <w:sz w:val="24"/>
          <w:szCs w:val="24"/>
        </w:rPr>
        <w:t>采用密闭负压对废气进行收集</w:t>
      </w:r>
      <w:r>
        <w:rPr>
          <w:sz w:val="24"/>
          <w:szCs w:val="24"/>
        </w:rPr>
        <w:t>封闭性较好，集气率以9</w:t>
      </w:r>
      <w:r>
        <w:rPr>
          <w:rFonts w:hint="eastAsia"/>
          <w:sz w:val="24"/>
          <w:szCs w:val="24"/>
        </w:rPr>
        <w:t>5</w:t>
      </w:r>
      <w:r>
        <w:rPr>
          <w:sz w:val="24"/>
          <w:szCs w:val="24"/>
        </w:rPr>
        <w:t>%，活性炭吸附效率为</w:t>
      </w:r>
      <w:r>
        <w:rPr>
          <w:rFonts w:hint="eastAsia"/>
          <w:sz w:val="24"/>
          <w:szCs w:val="24"/>
        </w:rPr>
        <w:t>85</w:t>
      </w:r>
      <w:r>
        <w:rPr>
          <w:sz w:val="24"/>
          <w:szCs w:val="24"/>
        </w:rPr>
        <w:t>%计</w:t>
      </w:r>
      <w:r>
        <w:rPr>
          <w:rFonts w:hint="eastAsia"/>
          <w:sz w:val="24"/>
          <w:szCs w:val="24"/>
        </w:rPr>
        <w:t>；</w:t>
      </w:r>
      <w:r>
        <w:rPr>
          <w:rFonts w:hint="eastAsia"/>
          <w:sz w:val="24"/>
          <w:szCs w:val="24"/>
          <w:lang w:val="en-US" w:eastAsia="zh-CN"/>
        </w:rPr>
        <w:t>本项目底漆房、面漆房和晾干房均采用整体密闭负压收集方式对喷漆废气进行收集，根据企业提供的车间平面布置图可知，需要进行整体密闭收集的空间面积约为151㎡，拟建设喷漆、晾干房高3m，则密闭空间体积为453m³，为保证密闭区域内换风次数原则上不少于20次/小时，</w:t>
      </w:r>
      <w:r>
        <w:rPr>
          <w:sz w:val="24"/>
          <w:szCs w:val="24"/>
        </w:rPr>
        <w:t>配套风机风量为</w:t>
      </w:r>
      <w:r>
        <w:rPr>
          <w:rFonts w:hint="eastAsia"/>
          <w:sz w:val="24"/>
          <w:szCs w:val="24"/>
        </w:rPr>
        <w:t>15</w:t>
      </w:r>
      <w:r>
        <w:rPr>
          <w:sz w:val="24"/>
          <w:szCs w:val="24"/>
        </w:rPr>
        <w:t>000</w:t>
      </w:r>
      <w:r>
        <w:rPr>
          <w:rFonts w:hint="eastAsia"/>
          <w:sz w:val="24"/>
          <w:szCs w:val="24"/>
        </w:rPr>
        <w:t>m³</w:t>
      </w:r>
      <w:r>
        <w:rPr>
          <w:rFonts w:hint="eastAsia"/>
          <w:sz w:val="24"/>
          <w:szCs w:val="24"/>
          <w:lang w:val="en-US" w:eastAsia="zh-CN"/>
        </w:rPr>
        <w:t>/h，可以满足本项目密闭区域内换风次数达到33次/小时</w:t>
      </w:r>
      <w:r>
        <w:rPr>
          <w:sz w:val="24"/>
          <w:szCs w:val="24"/>
        </w:rPr>
        <w:t>。喷漆作业以300d计，日作业以4h计(含喷漆1-2小时，自然干燥时间2-3小时)。则</w:t>
      </w:r>
      <w:r>
        <w:rPr>
          <w:rFonts w:hint="eastAsia"/>
          <w:sz w:val="24"/>
          <w:szCs w:val="24"/>
        </w:rPr>
        <w:t>总挥发性有机物</w:t>
      </w:r>
      <w:r>
        <w:rPr>
          <w:sz w:val="24"/>
          <w:szCs w:val="24"/>
        </w:rPr>
        <w:t>有组织排放量为</w:t>
      </w:r>
      <w:r>
        <w:rPr>
          <w:rFonts w:hint="eastAsia"/>
          <w:sz w:val="24"/>
          <w:szCs w:val="24"/>
        </w:rPr>
        <w:t>0.247</w:t>
      </w:r>
      <w:r>
        <w:rPr>
          <w:sz w:val="24"/>
          <w:szCs w:val="24"/>
        </w:rPr>
        <w:t>t</w:t>
      </w:r>
      <w:r>
        <w:rPr>
          <w:rFonts w:hint="eastAsia"/>
          <w:sz w:val="24"/>
          <w:szCs w:val="24"/>
        </w:rPr>
        <w:t>/</w:t>
      </w:r>
      <w:r>
        <w:rPr>
          <w:sz w:val="24"/>
          <w:szCs w:val="24"/>
        </w:rPr>
        <w:t>a</w:t>
      </w:r>
      <w:r>
        <w:rPr>
          <w:rFonts w:hint="eastAsia"/>
          <w:sz w:val="24"/>
          <w:szCs w:val="24"/>
        </w:rPr>
        <w:t>（</w:t>
      </w:r>
      <w:r>
        <w:rPr>
          <w:sz w:val="24"/>
          <w:szCs w:val="24"/>
        </w:rPr>
        <w:t>即0.</w:t>
      </w:r>
      <w:r>
        <w:rPr>
          <w:rFonts w:hint="eastAsia"/>
          <w:sz w:val="24"/>
          <w:szCs w:val="24"/>
        </w:rPr>
        <w:t>206</w:t>
      </w:r>
      <w:r>
        <w:rPr>
          <w:sz w:val="24"/>
          <w:szCs w:val="24"/>
        </w:rPr>
        <w:t>kg</w:t>
      </w:r>
      <w:r>
        <w:rPr>
          <w:rFonts w:hint="eastAsia"/>
          <w:sz w:val="24"/>
          <w:szCs w:val="24"/>
        </w:rPr>
        <w:t>/</w:t>
      </w:r>
      <w:r>
        <w:rPr>
          <w:sz w:val="24"/>
          <w:szCs w:val="24"/>
        </w:rPr>
        <w:t>h</w:t>
      </w:r>
      <w:r>
        <w:rPr>
          <w:rFonts w:hint="eastAsia"/>
          <w:sz w:val="24"/>
          <w:szCs w:val="24"/>
        </w:rPr>
        <w:t>）</w:t>
      </w:r>
      <w:r>
        <w:rPr>
          <w:sz w:val="24"/>
          <w:szCs w:val="24"/>
        </w:rPr>
        <w:t>，排放浓度为</w:t>
      </w:r>
      <w:r>
        <w:rPr>
          <w:rFonts w:hint="eastAsia"/>
          <w:sz w:val="24"/>
          <w:szCs w:val="24"/>
        </w:rPr>
        <w:t>13.73</w:t>
      </w:r>
      <w:r>
        <w:rPr>
          <w:sz w:val="24"/>
          <w:szCs w:val="24"/>
        </w:rPr>
        <w:t>mg/</w:t>
      </w:r>
      <w:r>
        <w:rPr>
          <w:rFonts w:hint="eastAsia"/>
          <w:sz w:val="24"/>
          <w:szCs w:val="24"/>
        </w:rPr>
        <w:t>m³；总挥发性有机物</w:t>
      </w:r>
      <w:r>
        <w:rPr>
          <w:sz w:val="24"/>
          <w:szCs w:val="24"/>
        </w:rPr>
        <w:t>的无组织</w:t>
      </w:r>
      <w:r>
        <w:rPr>
          <w:rFonts w:hint="eastAsia"/>
          <w:sz w:val="24"/>
          <w:szCs w:val="24"/>
        </w:rPr>
        <w:t>（以非甲烷总烃计）</w:t>
      </w:r>
      <w:r>
        <w:rPr>
          <w:sz w:val="24"/>
          <w:szCs w:val="24"/>
        </w:rPr>
        <w:t>产生量为</w:t>
      </w:r>
      <w:r>
        <w:rPr>
          <w:rFonts w:hint="eastAsia"/>
          <w:sz w:val="24"/>
          <w:szCs w:val="24"/>
        </w:rPr>
        <w:t>0.087</w:t>
      </w:r>
      <w:r>
        <w:rPr>
          <w:sz w:val="24"/>
          <w:szCs w:val="24"/>
        </w:rPr>
        <w:t>t</w:t>
      </w:r>
      <w:r>
        <w:rPr>
          <w:rFonts w:hint="eastAsia"/>
          <w:sz w:val="24"/>
          <w:szCs w:val="24"/>
        </w:rPr>
        <w:t>/</w:t>
      </w:r>
      <w:r>
        <w:rPr>
          <w:sz w:val="24"/>
          <w:szCs w:val="24"/>
        </w:rPr>
        <w:t>a</w:t>
      </w:r>
      <w:r>
        <w:rPr>
          <w:rFonts w:hint="eastAsia"/>
          <w:sz w:val="24"/>
          <w:szCs w:val="24"/>
        </w:rPr>
        <w:t>（</w:t>
      </w:r>
      <w:r>
        <w:rPr>
          <w:sz w:val="24"/>
          <w:szCs w:val="24"/>
        </w:rPr>
        <w:t>即 0.0</w:t>
      </w:r>
      <w:r>
        <w:rPr>
          <w:rFonts w:hint="eastAsia"/>
          <w:sz w:val="24"/>
          <w:szCs w:val="24"/>
        </w:rPr>
        <w:t>73</w:t>
      </w:r>
      <w:r>
        <w:rPr>
          <w:sz w:val="24"/>
          <w:szCs w:val="24"/>
        </w:rPr>
        <w:t>kg/h</w:t>
      </w:r>
      <w:r>
        <w:rPr>
          <w:rFonts w:hint="eastAsia"/>
          <w:sz w:val="24"/>
          <w:szCs w:val="24"/>
        </w:rPr>
        <w:t>）</w:t>
      </w:r>
      <w:r>
        <w:rPr>
          <w:rFonts w:hint="eastAsia"/>
          <w:sz w:val="24"/>
          <w:szCs w:val="24"/>
          <w:lang w:eastAsia="zh-CN"/>
        </w:rPr>
        <w:t>，</w:t>
      </w:r>
      <w:r>
        <w:rPr>
          <w:rFonts w:hint="eastAsia"/>
          <w:sz w:val="24"/>
          <w:szCs w:val="24"/>
          <w:lang w:val="en-US" w:eastAsia="zh-CN"/>
        </w:rPr>
        <w:t>喷漆过程中将有微量恶臭污染物产生，污染因子以“臭气浓度”计，本次评价仅做定性分析</w:t>
      </w:r>
      <w:r>
        <w:rPr>
          <w:sz w:val="24"/>
          <w:szCs w:val="24"/>
        </w:rPr>
        <w:t>。</w:t>
      </w:r>
    </w:p>
    <w:p w14:paraId="1DE4836D">
      <w:pPr>
        <w:adjustRightInd w:val="0"/>
        <w:snapToGrid w:val="0"/>
        <w:spacing w:line="360" w:lineRule="auto"/>
        <w:ind w:firstLine="480" w:firstLineChars="200"/>
        <w:rPr>
          <w:sz w:val="24"/>
          <w:szCs w:val="24"/>
        </w:rPr>
      </w:pPr>
      <w:r>
        <w:rPr>
          <w:rFonts w:hint="eastAsia"/>
          <w:sz w:val="24"/>
          <w:szCs w:val="24"/>
        </w:rPr>
        <w:t>油漆废气排放情况见下表。</w:t>
      </w:r>
    </w:p>
    <w:p w14:paraId="6292A0AC">
      <w:pPr>
        <w:pStyle w:val="116"/>
        <w:numPr>
          <w:ilvl w:val="0"/>
          <w:numId w:val="22"/>
        </w:numPr>
        <w:spacing w:before="0" w:beforeLines="0"/>
        <w:ind w:left="0"/>
      </w:pPr>
      <w:r>
        <w:rPr>
          <w:rFonts w:hint="eastAsia"/>
          <w:lang w:val="en-US"/>
        </w:rPr>
        <w:t>项目油漆</w:t>
      </w:r>
      <w:r>
        <w:rPr>
          <w:rFonts w:hint="eastAsia"/>
        </w:rPr>
        <w:t>废气</w:t>
      </w:r>
      <w:r>
        <w:rPr>
          <w:rFonts w:hint="eastAsia"/>
          <w:lang w:val="en-US"/>
        </w:rPr>
        <w:t>产排</w:t>
      </w:r>
      <w:r>
        <w:rPr>
          <w:rFonts w:hint="eastAsia"/>
        </w:rPr>
        <w:t>情况</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036"/>
        <w:gridCol w:w="1036"/>
        <w:gridCol w:w="835"/>
        <w:gridCol w:w="1036"/>
        <w:gridCol w:w="622"/>
        <w:gridCol w:w="686"/>
        <w:gridCol w:w="770"/>
        <w:gridCol w:w="1037"/>
        <w:gridCol w:w="1037"/>
      </w:tblGrid>
      <w:tr w14:paraId="27B1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pct"/>
            <w:vMerge w:val="restart"/>
            <w:vAlign w:val="center"/>
          </w:tcPr>
          <w:p w14:paraId="2E2AC98A">
            <w:pPr>
              <w:adjustRightInd w:val="0"/>
              <w:snapToGrid w:val="0"/>
              <w:jc w:val="center"/>
              <w:rPr>
                <w:sz w:val="18"/>
                <w:szCs w:val="18"/>
              </w:rPr>
            </w:pPr>
            <w:r>
              <w:rPr>
                <w:rFonts w:hint="eastAsia"/>
                <w:sz w:val="18"/>
                <w:szCs w:val="18"/>
              </w:rPr>
              <w:t>废气种类</w:t>
            </w:r>
          </w:p>
        </w:tc>
        <w:tc>
          <w:tcPr>
            <w:tcW w:w="533" w:type="pct"/>
            <w:vMerge w:val="restart"/>
            <w:vAlign w:val="center"/>
          </w:tcPr>
          <w:p w14:paraId="3A8291EB">
            <w:pPr>
              <w:adjustRightInd w:val="0"/>
              <w:snapToGrid w:val="0"/>
              <w:jc w:val="center"/>
              <w:rPr>
                <w:sz w:val="18"/>
                <w:szCs w:val="18"/>
              </w:rPr>
            </w:pPr>
            <w:r>
              <w:rPr>
                <w:rFonts w:hint="eastAsia"/>
                <w:sz w:val="18"/>
                <w:szCs w:val="18"/>
              </w:rPr>
              <w:t>排放方式</w:t>
            </w:r>
          </w:p>
        </w:tc>
        <w:tc>
          <w:tcPr>
            <w:tcW w:w="533" w:type="pct"/>
            <w:vAlign w:val="center"/>
          </w:tcPr>
          <w:p w14:paraId="3E24B598">
            <w:pPr>
              <w:adjustRightInd w:val="0"/>
              <w:snapToGrid w:val="0"/>
              <w:jc w:val="center"/>
              <w:rPr>
                <w:sz w:val="18"/>
                <w:szCs w:val="18"/>
              </w:rPr>
            </w:pPr>
            <w:r>
              <w:rPr>
                <w:rFonts w:hint="eastAsia"/>
                <w:sz w:val="18"/>
                <w:szCs w:val="18"/>
              </w:rPr>
              <w:t>回收效率</w:t>
            </w:r>
          </w:p>
        </w:tc>
        <w:tc>
          <w:tcPr>
            <w:tcW w:w="430" w:type="pct"/>
            <w:shd w:val="clear" w:color="auto" w:fill="auto"/>
            <w:vAlign w:val="center"/>
          </w:tcPr>
          <w:p w14:paraId="21575E2A">
            <w:pPr>
              <w:adjustRightInd w:val="0"/>
              <w:snapToGrid w:val="0"/>
              <w:jc w:val="center"/>
              <w:rPr>
                <w:sz w:val="18"/>
                <w:szCs w:val="18"/>
              </w:rPr>
            </w:pPr>
            <w:r>
              <w:rPr>
                <w:rFonts w:hint="eastAsia"/>
                <w:sz w:val="18"/>
                <w:szCs w:val="18"/>
              </w:rPr>
              <w:t>产生量</w:t>
            </w:r>
          </w:p>
        </w:tc>
        <w:tc>
          <w:tcPr>
            <w:tcW w:w="533" w:type="pct"/>
            <w:shd w:val="clear" w:color="auto" w:fill="auto"/>
            <w:vAlign w:val="center"/>
          </w:tcPr>
          <w:p w14:paraId="2FC431D9">
            <w:pPr>
              <w:adjustRightInd w:val="0"/>
              <w:snapToGrid w:val="0"/>
              <w:jc w:val="center"/>
              <w:rPr>
                <w:sz w:val="18"/>
                <w:szCs w:val="18"/>
              </w:rPr>
            </w:pPr>
            <w:r>
              <w:rPr>
                <w:rFonts w:hint="eastAsia"/>
                <w:sz w:val="18"/>
                <w:szCs w:val="18"/>
              </w:rPr>
              <w:t>去除效率</w:t>
            </w:r>
          </w:p>
        </w:tc>
        <w:tc>
          <w:tcPr>
            <w:tcW w:w="1051" w:type="pct"/>
            <w:gridSpan w:val="3"/>
            <w:vAlign w:val="center"/>
          </w:tcPr>
          <w:p w14:paraId="14B91B57">
            <w:pPr>
              <w:adjustRightInd w:val="0"/>
              <w:snapToGrid w:val="0"/>
              <w:jc w:val="center"/>
              <w:rPr>
                <w:sz w:val="18"/>
                <w:szCs w:val="18"/>
              </w:rPr>
            </w:pPr>
            <w:r>
              <w:rPr>
                <w:rFonts w:hint="eastAsia"/>
                <w:sz w:val="18"/>
                <w:szCs w:val="18"/>
              </w:rPr>
              <w:t>排放量</w:t>
            </w:r>
          </w:p>
        </w:tc>
        <w:tc>
          <w:tcPr>
            <w:tcW w:w="533" w:type="pct"/>
            <w:vAlign w:val="center"/>
          </w:tcPr>
          <w:p w14:paraId="1C5A935A">
            <w:pPr>
              <w:adjustRightInd w:val="0"/>
              <w:snapToGrid w:val="0"/>
              <w:jc w:val="center"/>
              <w:rPr>
                <w:sz w:val="18"/>
                <w:szCs w:val="18"/>
              </w:rPr>
            </w:pPr>
            <w:r>
              <w:rPr>
                <w:rFonts w:hint="eastAsia"/>
                <w:sz w:val="18"/>
                <w:szCs w:val="18"/>
              </w:rPr>
              <w:t>设计风量</w:t>
            </w:r>
          </w:p>
        </w:tc>
        <w:tc>
          <w:tcPr>
            <w:tcW w:w="533" w:type="pct"/>
            <w:vAlign w:val="center"/>
          </w:tcPr>
          <w:p w14:paraId="59D3A6C1">
            <w:pPr>
              <w:adjustRightInd w:val="0"/>
              <w:snapToGrid w:val="0"/>
              <w:jc w:val="center"/>
              <w:rPr>
                <w:sz w:val="18"/>
                <w:szCs w:val="18"/>
              </w:rPr>
            </w:pPr>
            <w:r>
              <w:rPr>
                <w:rFonts w:hint="eastAsia"/>
                <w:sz w:val="18"/>
                <w:szCs w:val="18"/>
              </w:rPr>
              <w:t>排放时间</w:t>
            </w:r>
          </w:p>
        </w:tc>
      </w:tr>
      <w:tr w14:paraId="76D5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Merge w:val="continue"/>
            <w:vAlign w:val="center"/>
          </w:tcPr>
          <w:p w14:paraId="529BC3AE">
            <w:pPr>
              <w:adjustRightInd w:val="0"/>
              <w:snapToGrid w:val="0"/>
              <w:jc w:val="center"/>
              <w:rPr>
                <w:sz w:val="18"/>
                <w:szCs w:val="18"/>
              </w:rPr>
            </w:pPr>
          </w:p>
        </w:tc>
        <w:tc>
          <w:tcPr>
            <w:tcW w:w="533" w:type="pct"/>
            <w:vMerge w:val="continue"/>
            <w:vAlign w:val="center"/>
          </w:tcPr>
          <w:p w14:paraId="3CAEB9A3">
            <w:pPr>
              <w:adjustRightInd w:val="0"/>
              <w:snapToGrid w:val="0"/>
              <w:jc w:val="center"/>
              <w:rPr>
                <w:sz w:val="18"/>
                <w:szCs w:val="18"/>
              </w:rPr>
            </w:pPr>
          </w:p>
        </w:tc>
        <w:tc>
          <w:tcPr>
            <w:tcW w:w="533" w:type="pct"/>
            <w:vAlign w:val="center"/>
          </w:tcPr>
          <w:p w14:paraId="16146A60">
            <w:pPr>
              <w:adjustRightInd w:val="0"/>
              <w:snapToGrid w:val="0"/>
              <w:jc w:val="center"/>
              <w:rPr>
                <w:sz w:val="18"/>
                <w:szCs w:val="18"/>
              </w:rPr>
            </w:pPr>
            <w:r>
              <w:rPr>
                <w:rFonts w:hint="eastAsia"/>
                <w:sz w:val="18"/>
                <w:szCs w:val="18"/>
              </w:rPr>
              <w:t>%</w:t>
            </w:r>
          </w:p>
        </w:tc>
        <w:tc>
          <w:tcPr>
            <w:tcW w:w="430" w:type="pct"/>
            <w:shd w:val="clear" w:color="auto" w:fill="auto"/>
            <w:vAlign w:val="center"/>
          </w:tcPr>
          <w:p w14:paraId="28419548">
            <w:pPr>
              <w:adjustRightInd w:val="0"/>
              <w:snapToGrid w:val="0"/>
              <w:jc w:val="center"/>
              <w:rPr>
                <w:sz w:val="18"/>
                <w:szCs w:val="18"/>
              </w:rPr>
            </w:pPr>
            <w:r>
              <w:rPr>
                <w:rFonts w:hint="eastAsia"/>
                <w:sz w:val="18"/>
                <w:szCs w:val="18"/>
              </w:rPr>
              <w:t>t/a</w:t>
            </w:r>
          </w:p>
        </w:tc>
        <w:tc>
          <w:tcPr>
            <w:tcW w:w="533" w:type="pct"/>
            <w:shd w:val="clear" w:color="auto" w:fill="auto"/>
            <w:vAlign w:val="center"/>
          </w:tcPr>
          <w:p w14:paraId="7708ABAB">
            <w:pPr>
              <w:adjustRightInd w:val="0"/>
              <w:snapToGrid w:val="0"/>
              <w:jc w:val="center"/>
              <w:rPr>
                <w:sz w:val="18"/>
                <w:szCs w:val="18"/>
              </w:rPr>
            </w:pPr>
            <w:r>
              <w:rPr>
                <w:rFonts w:hint="eastAsia"/>
                <w:sz w:val="18"/>
                <w:szCs w:val="18"/>
              </w:rPr>
              <w:t>%</w:t>
            </w:r>
          </w:p>
        </w:tc>
        <w:tc>
          <w:tcPr>
            <w:tcW w:w="302" w:type="pct"/>
            <w:vAlign w:val="center"/>
          </w:tcPr>
          <w:p w14:paraId="22AEA806">
            <w:pPr>
              <w:adjustRightInd w:val="0"/>
              <w:snapToGrid w:val="0"/>
              <w:jc w:val="center"/>
              <w:rPr>
                <w:sz w:val="18"/>
                <w:szCs w:val="18"/>
              </w:rPr>
            </w:pPr>
            <w:r>
              <w:rPr>
                <w:rFonts w:hint="eastAsia"/>
                <w:sz w:val="18"/>
                <w:szCs w:val="18"/>
              </w:rPr>
              <w:t>t/a</w:t>
            </w:r>
          </w:p>
        </w:tc>
        <w:tc>
          <w:tcPr>
            <w:tcW w:w="353" w:type="pct"/>
            <w:vAlign w:val="center"/>
          </w:tcPr>
          <w:p w14:paraId="2170AD0C">
            <w:pPr>
              <w:adjustRightInd w:val="0"/>
              <w:snapToGrid w:val="0"/>
              <w:jc w:val="center"/>
              <w:rPr>
                <w:sz w:val="18"/>
                <w:szCs w:val="18"/>
              </w:rPr>
            </w:pPr>
            <w:r>
              <w:rPr>
                <w:rFonts w:hint="eastAsia"/>
                <w:sz w:val="18"/>
                <w:szCs w:val="18"/>
              </w:rPr>
              <w:t>kg/h</w:t>
            </w:r>
          </w:p>
        </w:tc>
        <w:tc>
          <w:tcPr>
            <w:tcW w:w="395" w:type="pct"/>
            <w:vAlign w:val="center"/>
          </w:tcPr>
          <w:p w14:paraId="7AAB680B">
            <w:pPr>
              <w:adjustRightInd w:val="0"/>
              <w:snapToGrid w:val="0"/>
              <w:jc w:val="center"/>
              <w:rPr>
                <w:sz w:val="18"/>
                <w:szCs w:val="18"/>
              </w:rPr>
            </w:pPr>
            <w:r>
              <w:rPr>
                <w:rFonts w:hint="eastAsia"/>
                <w:sz w:val="18"/>
                <w:szCs w:val="18"/>
              </w:rPr>
              <w:t>mg/m</w:t>
            </w:r>
            <w:r>
              <w:rPr>
                <w:rFonts w:hint="eastAsia"/>
                <w:sz w:val="18"/>
                <w:szCs w:val="18"/>
                <w:vertAlign w:val="superscript"/>
              </w:rPr>
              <w:t>3</w:t>
            </w:r>
          </w:p>
        </w:tc>
        <w:tc>
          <w:tcPr>
            <w:tcW w:w="533" w:type="pct"/>
            <w:shd w:val="clear" w:color="auto" w:fill="auto"/>
            <w:vAlign w:val="center"/>
          </w:tcPr>
          <w:p w14:paraId="1CC3612A">
            <w:pPr>
              <w:adjustRightInd w:val="0"/>
              <w:snapToGrid w:val="0"/>
              <w:jc w:val="center"/>
              <w:rPr>
                <w:sz w:val="18"/>
                <w:szCs w:val="18"/>
              </w:rPr>
            </w:pPr>
            <w:r>
              <w:rPr>
                <w:rFonts w:hint="eastAsia"/>
                <w:sz w:val="18"/>
                <w:szCs w:val="18"/>
              </w:rPr>
              <w:t>m</w:t>
            </w:r>
            <w:r>
              <w:rPr>
                <w:rFonts w:hint="eastAsia"/>
                <w:sz w:val="18"/>
                <w:szCs w:val="18"/>
                <w:vertAlign w:val="superscript"/>
              </w:rPr>
              <w:t>3</w:t>
            </w:r>
            <w:r>
              <w:rPr>
                <w:rFonts w:hint="eastAsia"/>
                <w:sz w:val="18"/>
                <w:szCs w:val="18"/>
              </w:rPr>
              <w:t>/h</w:t>
            </w:r>
          </w:p>
        </w:tc>
        <w:tc>
          <w:tcPr>
            <w:tcW w:w="533" w:type="pct"/>
            <w:shd w:val="clear" w:color="auto" w:fill="auto"/>
            <w:vAlign w:val="center"/>
          </w:tcPr>
          <w:p w14:paraId="0E7342C8">
            <w:pPr>
              <w:adjustRightInd w:val="0"/>
              <w:snapToGrid w:val="0"/>
              <w:jc w:val="center"/>
              <w:rPr>
                <w:sz w:val="18"/>
                <w:szCs w:val="18"/>
              </w:rPr>
            </w:pPr>
            <w:r>
              <w:rPr>
                <w:rFonts w:hint="eastAsia"/>
                <w:sz w:val="18"/>
                <w:szCs w:val="18"/>
              </w:rPr>
              <w:t>h</w:t>
            </w:r>
          </w:p>
        </w:tc>
      </w:tr>
      <w:tr w14:paraId="37B7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7C872134">
            <w:pPr>
              <w:adjustRightInd w:val="0"/>
              <w:snapToGrid w:val="0"/>
              <w:jc w:val="center"/>
              <w:rPr>
                <w:sz w:val="18"/>
                <w:szCs w:val="18"/>
              </w:rPr>
            </w:pPr>
            <w:r>
              <w:rPr>
                <w:rFonts w:hint="eastAsia"/>
                <w:sz w:val="18"/>
                <w:szCs w:val="18"/>
              </w:rPr>
              <w:t>TVOC（DA001）</w:t>
            </w:r>
          </w:p>
        </w:tc>
        <w:tc>
          <w:tcPr>
            <w:tcW w:w="533" w:type="pct"/>
            <w:vAlign w:val="center"/>
          </w:tcPr>
          <w:p w14:paraId="6711B968">
            <w:pPr>
              <w:adjustRightInd w:val="0"/>
              <w:snapToGrid w:val="0"/>
              <w:jc w:val="center"/>
              <w:rPr>
                <w:sz w:val="18"/>
                <w:szCs w:val="18"/>
              </w:rPr>
            </w:pPr>
            <w:r>
              <w:rPr>
                <w:rFonts w:hint="eastAsia"/>
                <w:sz w:val="18"/>
                <w:szCs w:val="18"/>
              </w:rPr>
              <w:t>有组织</w:t>
            </w:r>
          </w:p>
        </w:tc>
        <w:tc>
          <w:tcPr>
            <w:tcW w:w="533" w:type="pct"/>
            <w:vMerge w:val="restart"/>
            <w:vAlign w:val="center"/>
          </w:tcPr>
          <w:p w14:paraId="2E02ABD1">
            <w:pPr>
              <w:adjustRightInd w:val="0"/>
              <w:snapToGrid w:val="0"/>
              <w:jc w:val="center"/>
              <w:rPr>
                <w:sz w:val="18"/>
                <w:szCs w:val="18"/>
              </w:rPr>
            </w:pPr>
            <w:r>
              <w:rPr>
                <w:rFonts w:hint="eastAsia"/>
                <w:sz w:val="18"/>
                <w:szCs w:val="18"/>
              </w:rPr>
              <w:t>95</w:t>
            </w:r>
          </w:p>
        </w:tc>
        <w:tc>
          <w:tcPr>
            <w:tcW w:w="430" w:type="pct"/>
            <w:shd w:val="clear" w:color="auto" w:fill="auto"/>
            <w:vAlign w:val="center"/>
          </w:tcPr>
          <w:p w14:paraId="37862D05">
            <w:pPr>
              <w:adjustRightInd w:val="0"/>
              <w:snapToGrid w:val="0"/>
              <w:jc w:val="center"/>
              <w:rPr>
                <w:sz w:val="18"/>
                <w:szCs w:val="18"/>
              </w:rPr>
            </w:pPr>
            <w:r>
              <w:rPr>
                <w:rFonts w:hint="eastAsia"/>
                <w:sz w:val="18"/>
                <w:szCs w:val="18"/>
              </w:rPr>
              <w:t>1.646</w:t>
            </w:r>
          </w:p>
        </w:tc>
        <w:tc>
          <w:tcPr>
            <w:tcW w:w="533" w:type="pct"/>
            <w:shd w:val="clear" w:color="auto" w:fill="auto"/>
            <w:vAlign w:val="center"/>
          </w:tcPr>
          <w:p w14:paraId="3179E638">
            <w:pPr>
              <w:adjustRightInd w:val="0"/>
              <w:snapToGrid w:val="0"/>
              <w:jc w:val="center"/>
              <w:rPr>
                <w:sz w:val="18"/>
                <w:szCs w:val="18"/>
              </w:rPr>
            </w:pPr>
            <w:r>
              <w:rPr>
                <w:rFonts w:hint="eastAsia"/>
                <w:sz w:val="18"/>
                <w:szCs w:val="18"/>
              </w:rPr>
              <w:t>85</w:t>
            </w:r>
          </w:p>
        </w:tc>
        <w:tc>
          <w:tcPr>
            <w:tcW w:w="302" w:type="pct"/>
            <w:vAlign w:val="center"/>
          </w:tcPr>
          <w:p w14:paraId="2C81BE2C">
            <w:pPr>
              <w:adjustRightInd w:val="0"/>
              <w:snapToGrid w:val="0"/>
              <w:jc w:val="center"/>
              <w:rPr>
                <w:sz w:val="18"/>
                <w:szCs w:val="18"/>
              </w:rPr>
            </w:pPr>
            <w:r>
              <w:rPr>
                <w:rFonts w:hint="eastAsia"/>
                <w:sz w:val="18"/>
                <w:szCs w:val="18"/>
              </w:rPr>
              <w:t>0.247</w:t>
            </w:r>
          </w:p>
        </w:tc>
        <w:tc>
          <w:tcPr>
            <w:tcW w:w="353" w:type="pct"/>
            <w:vAlign w:val="center"/>
          </w:tcPr>
          <w:p w14:paraId="086970EF">
            <w:pPr>
              <w:adjustRightInd w:val="0"/>
              <w:snapToGrid w:val="0"/>
              <w:jc w:val="center"/>
              <w:rPr>
                <w:sz w:val="18"/>
                <w:szCs w:val="18"/>
              </w:rPr>
            </w:pPr>
            <w:r>
              <w:rPr>
                <w:rFonts w:hint="eastAsia"/>
                <w:sz w:val="18"/>
                <w:szCs w:val="18"/>
              </w:rPr>
              <w:t>0.206</w:t>
            </w:r>
          </w:p>
        </w:tc>
        <w:tc>
          <w:tcPr>
            <w:tcW w:w="395" w:type="pct"/>
            <w:vAlign w:val="center"/>
          </w:tcPr>
          <w:p w14:paraId="501E3739">
            <w:pPr>
              <w:adjustRightInd w:val="0"/>
              <w:snapToGrid w:val="0"/>
              <w:jc w:val="center"/>
              <w:rPr>
                <w:sz w:val="18"/>
                <w:szCs w:val="18"/>
              </w:rPr>
            </w:pPr>
            <w:r>
              <w:rPr>
                <w:rFonts w:hint="eastAsia"/>
                <w:sz w:val="18"/>
                <w:szCs w:val="18"/>
              </w:rPr>
              <w:t>13.73</w:t>
            </w:r>
          </w:p>
        </w:tc>
        <w:tc>
          <w:tcPr>
            <w:tcW w:w="533" w:type="pct"/>
            <w:vAlign w:val="center"/>
          </w:tcPr>
          <w:p w14:paraId="32395A9A">
            <w:pPr>
              <w:adjustRightInd w:val="0"/>
              <w:snapToGrid w:val="0"/>
              <w:jc w:val="center"/>
              <w:rPr>
                <w:sz w:val="18"/>
                <w:szCs w:val="18"/>
              </w:rPr>
            </w:pPr>
            <w:r>
              <w:rPr>
                <w:rFonts w:hint="eastAsia"/>
                <w:sz w:val="18"/>
                <w:szCs w:val="18"/>
              </w:rPr>
              <w:t>15000</w:t>
            </w:r>
          </w:p>
        </w:tc>
        <w:tc>
          <w:tcPr>
            <w:tcW w:w="533" w:type="pct"/>
            <w:vAlign w:val="center"/>
          </w:tcPr>
          <w:p w14:paraId="5D559811">
            <w:pPr>
              <w:adjustRightInd w:val="0"/>
              <w:snapToGrid w:val="0"/>
              <w:jc w:val="center"/>
              <w:rPr>
                <w:sz w:val="18"/>
                <w:szCs w:val="18"/>
              </w:rPr>
            </w:pPr>
            <w:r>
              <w:rPr>
                <w:rFonts w:hint="eastAsia"/>
                <w:sz w:val="18"/>
                <w:szCs w:val="18"/>
              </w:rPr>
              <w:t>1200</w:t>
            </w:r>
          </w:p>
        </w:tc>
      </w:tr>
      <w:tr w14:paraId="1B8B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1AA8CBF4">
            <w:pPr>
              <w:adjustRightInd w:val="0"/>
              <w:snapToGrid w:val="0"/>
              <w:jc w:val="center"/>
              <w:rPr>
                <w:sz w:val="18"/>
                <w:szCs w:val="18"/>
              </w:rPr>
            </w:pPr>
            <w:r>
              <w:rPr>
                <w:rFonts w:hint="eastAsia"/>
                <w:sz w:val="18"/>
                <w:szCs w:val="18"/>
              </w:rPr>
              <w:t>NMHC</w:t>
            </w:r>
          </w:p>
        </w:tc>
        <w:tc>
          <w:tcPr>
            <w:tcW w:w="533" w:type="pct"/>
            <w:vAlign w:val="center"/>
          </w:tcPr>
          <w:p w14:paraId="58A51DA4">
            <w:pPr>
              <w:adjustRightInd w:val="0"/>
              <w:snapToGrid w:val="0"/>
              <w:jc w:val="center"/>
              <w:rPr>
                <w:sz w:val="18"/>
                <w:szCs w:val="18"/>
              </w:rPr>
            </w:pPr>
            <w:r>
              <w:rPr>
                <w:rFonts w:hint="eastAsia"/>
                <w:sz w:val="18"/>
                <w:szCs w:val="18"/>
              </w:rPr>
              <w:t>无组织</w:t>
            </w:r>
          </w:p>
        </w:tc>
        <w:tc>
          <w:tcPr>
            <w:tcW w:w="533" w:type="pct"/>
            <w:vMerge w:val="continue"/>
            <w:vAlign w:val="center"/>
          </w:tcPr>
          <w:p w14:paraId="516EF9CA">
            <w:pPr>
              <w:adjustRightInd w:val="0"/>
              <w:snapToGrid w:val="0"/>
              <w:jc w:val="center"/>
              <w:rPr>
                <w:sz w:val="18"/>
                <w:szCs w:val="18"/>
              </w:rPr>
            </w:pPr>
          </w:p>
        </w:tc>
        <w:tc>
          <w:tcPr>
            <w:tcW w:w="430" w:type="pct"/>
            <w:vAlign w:val="center"/>
          </w:tcPr>
          <w:p w14:paraId="297192BA">
            <w:pPr>
              <w:adjustRightInd w:val="0"/>
              <w:snapToGrid w:val="0"/>
              <w:jc w:val="center"/>
              <w:rPr>
                <w:sz w:val="18"/>
                <w:szCs w:val="18"/>
              </w:rPr>
            </w:pPr>
            <w:r>
              <w:rPr>
                <w:rFonts w:hint="eastAsia"/>
                <w:sz w:val="18"/>
                <w:szCs w:val="18"/>
              </w:rPr>
              <w:t>0.087</w:t>
            </w:r>
          </w:p>
        </w:tc>
        <w:tc>
          <w:tcPr>
            <w:tcW w:w="533" w:type="pct"/>
            <w:shd w:val="clear" w:color="auto" w:fill="auto"/>
            <w:vAlign w:val="center"/>
          </w:tcPr>
          <w:p w14:paraId="0516A2F8">
            <w:pPr>
              <w:adjustRightInd w:val="0"/>
              <w:snapToGrid w:val="0"/>
              <w:jc w:val="center"/>
              <w:rPr>
                <w:sz w:val="18"/>
                <w:szCs w:val="18"/>
              </w:rPr>
            </w:pPr>
            <w:r>
              <w:rPr>
                <w:rFonts w:hint="eastAsia"/>
                <w:sz w:val="18"/>
                <w:szCs w:val="18"/>
              </w:rPr>
              <w:t>/</w:t>
            </w:r>
          </w:p>
        </w:tc>
        <w:tc>
          <w:tcPr>
            <w:tcW w:w="302" w:type="pct"/>
            <w:vAlign w:val="center"/>
          </w:tcPr>
          <w:p w14:paraId="5076BCD0">
            <w:pPr>
              <w:adjustRightInd w:val="0"/>
              <w:snapToGrid w:val="0"/>
              <w:jc w:val="center"/>
              <w:rPr>
                <w:sz w:val="18"/>
                <w:szCs w:val="18"/>
              </w:rPr>
            </w:pPr>
            <w:r>
              <w:rPr>
                <w:rFonts w:hint="eastAsia"/>
                <w:sz w:val="18"/>
                <w:szCs w:val="18"/>
              </w:rPr>
              <w:t>0.087</w:t>
            </w:r>
          </w:p>
        </w:tc>
        <w:tc>
          <w:tcPr>
            <w:tcW w:w="353" w:type="pct"/>
            <w:vAlign w:val="center"/>
          </w:tcPr>
          <w:p w14:paraId="763664A8">
            <w:pPr>
              <w:adjustRightInd w:val="0"/>
              <w:snapToGrid w:val="0"/>
              <w:jc w:val="center"/>
              <w:rPr>
                <w:sz w:val="18"/>
                <w:szCs w:val="18"/>
              </w:rPr>
            </w:pPr>
            <w:r>
              <w:rPr>
                <w:rFonts w:hint="eastAsia"/>
                <w:sz w:val="18"/>
                <w:szCs w:val="18"/>
              </w:rPr>
              <w:t>0.073</w:t>
            </w:r>
          </w:p>
        </w:tc>
        <w:tc>
          <w:tcPr>
            <w:tcW w:w="395" w:type="pct"/>
            <w:vAlign w:val="center"/>
          </w:tcPr>
          <w:p w14:paraId="1FC06CDB">
            <w:pPr>
              <w:adjustRightInd w:val="0"/>
              <w:snapToGrid w:val="0"/>
              <w:jc w:val="center"/>
              <w:rPr>
                <w:sz w:val="18"/>
                <w:szCs w:val="18"/>
              </w:rPr>
            </w:pPr>
            <w:r>
              <w:rPr>
                <w:rFonts w:hint="eastAsia"/>
                <w:sz w:val="18"/>
                <w:szCs w:val="18"/>
              </w:rPr>
              <w:t>/</w:t>
            </w:r>
          </w:p>
        </w:tc>
        <w:tc>
          <w:tcPr>
            <w:tcW w:w="533" w:type="pct"/>
            <w:vAlign w:val="center"/>
          </w:tcPr>
          <w:p w14:paraId="341CCFB9">
            <w:pPr>
              <w:adjustRightInd w:val="0"/>
              <w:snapToGrid w:val="0"/>
              <w:jc w:val="center"/>
              <w:rPr>
                <w:sz w:val="18"/>
                <w:szCs w:val="18"/>
              </w:rPr>
            </w:pPr>
            <w:r>
              <w:rPr>
                <w:rFonts w:hint="eastAsia"/>
                <w:sz w:val="18"/>
                <w:szCs w:val="18"/>
              </w:rPr>
              <w:t>/</w:t>
            </w:r>
          </w:p>
        </w:tc>
        <w:tc>
          <w:tcPr>
            <w:tcW w:w="533" w:type="pct"/>
            <w:vAlign w:val="center"/>
          </w:tcPr>
          <w:p w14:paraId="5059AE98">
            <w:pPr>
              <w:adjustRightInd w:val="0"/>
              <w:snapToGrid w:val="0"/>
              <w:jc w:val="center"/>
              <w:rPr>
                <w:sz w:val="18"/>
                <w:szCs w:val="18"/>
              </w:rPr>
            </w:pPr>
            <w:r>
              <w:rPr>
                <w:rFonts w:hint="eastAsia"/>
                <w:sz w:val="18"/>
                <w:szCs w:val="18"/>
              </w:rPr>
              <w:t>1200</w:t>
            </w:r>
          </w:p>
        </w:tc>
      </w:tr>
      <w:tr w14:paraId="5D9F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3376DA00">
            <w:pPr>
              <w:adjustRightInd w:val="0"/>
              <w:snapToGrid w:val="0"/>
              <w:jc w:val="center"/>
              <w:rPr>
                <w:rFonts w:hint="eastAsia" w:eastAsia="宋体"/>
                <w:sz w:val="18"/>
                <w:szCs w:val="18"/>
                <w:lang w:val="en-US" w:eastAsia="zh-CN"/>
              </w:rPr>
            </w:pPr>
            <w:r>
              <w:rPr>
                <w:rFonts w:hint="eastAsia"/>
                <w:sz w:val="18"/>
                <w:szCs w:val="18"/>
                <w:lang w:val="en-US" w:eastAsia="zh-CN"/>
              </w:rPr>
              <w:t>臭气浓度</w:t>
            </w:r>
          </w:p>
        </w:tc>
        <w:tc>
          <w:tcPr>
            <w:tcW w:w="533" w:type="pct"/>
            <w:vAlign w:val="center"/>
          </w:tcPr>
          <w:p w14:paraId="37C4F924">
            <w:pPr>
              <w:adjustRightInd w:val="0"/>
              <w:snapToGrid w:val="0"/>
              <w:jc w:val="center"/>
              <w:rPr>
                <w:rFonts w:hint="default" w:eastAsia="宋体"/>
                <w:sz w:val="18"/>
                <w:szCs w:val="18"/>
                <w:lang w:val="en-US" w:eastAsia="zh-CN"/>
              </w:rPr>
            </w:pPr>
            <w:r>
              <w:rPr>
                <w:rFonts w:hint="eastAsia"/>
                <w:sz w:val="18"/>
                <w:szCs w:val="18"/>
                <w:lang w:val="en-US" w:eastAsia="zh-CN"/>
              </w:rPr>
              <w:t>有组织/无组织</w:t>
            </w:r>
          </w:p>
        </w:tc>
        <w:tc>
          <w:tcPr>
            <w:tcW w:w="533" w:type="pct"/>
            <w:vAlign w:val="center"/>
          </w:tcPr>
          <w:p w14:paraId="3F94FA92">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430" w:type="pct"/>
            <w:vAlign w:val="center"/>
          </w:tcPr>
          <w:p w14:paraId="2352660B">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533" w:type="pct"/>
            <w:shd w:val="clear" w:color="auto" w:fill="auto"/>
            <w:vAlign w:val="center"/>
          </w:tcPr>
          <w:p w14:paraId="3622B86B">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302" w:type="pct"/>
            <w:vAlign w:val="center"/>
          </w:tcPr>
          <w:p w14:paraId="58639C58">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353" w:type="pct"/>
            <w:vAlign w:val="center"/>
          </w:tcPr>
          <w:p w14:paraId="33A8FFC7">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395" w:type="pct"/>
            <w:vAlign w:val="center"/>
          </w:tcPr>
          <w:p w14:paraId="12CEECA9">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533" w:type="pct"/>
            <w:vAlign w:val="center"/>
          </w:tcPr>
          <w:p w14:paraId="0FD01201">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533" w:type="pct"/>
            <w:vAlign w:val="center"/>
          </w:tcPr>
          <w:p w14:paraId="11261BA4">
            <w:pPr>
              <w:adjustRightInd w:val="0"/>
              <w:snapToGrid w:val="0"/>
              <w:jc w:val="center"/>
              <w:rPr>
                <w:rFonts w:hint="eastAsia" w:eastAsia="宋体"/>
                <w:sz w:val="18"/>
                <w:szCs w:val="18"/>
                <w:lang w:val="en-US" w:eastAsia="zh-CN"/>
              </w:rPr>
            </w:pPr>
            <w:r>
              <w:rPr>
                <w:rFonts w:hint="eastAsia"/>
                <w:sz w:val="18"/>
                <w:szCs w:val="18"/>
                <w:lang w:val="en-US" w:eastAsia="zh-CN"/>
              </w:rPr>
              <w:t>/</w:t>
            </w:r>
          </w:p>
        </w:tc>
      </w:tr>
      <w:tr w14:paraId="51D7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5E647084">
            <w:pPr>
              <w:adjustRightInd w:val="0"/>
              <w:snapToGrid w:val="0"/>
              <w:jc w:val="center"/>
              <w:rPr>
                <w:sz w:val="18"/>
                <w:szCs w:val="18"/>
              </w:rPr>
            </w:pPr>
            <w:r>
              <w:rPr>
                <w:rFonts w:hint="eastAsia"/>
                <w:sz w:val="18"/>
                <w:szCs w:val="18"/>
              </w:rPr>
              <w:t>合计</w:t>
            </w:r>
          </w:p>
        </w:tc>
        <w:tc>
          <w:tcPr>
            <w:tcW w:w="533" w:type="pct"/>
            <w:vAlign w:val="center"/>
          </w:tcPr>
          <w:p w14:paraId="4E3D6A5E">
            <w:pPr>
              <w:adjustRightInd w:val="0"/>
              <w:snapToGrid w:val="0"/>
              <w:jc w:val="center"/>
              <w:rPr>
                <w:sz w:val="18"/>
                <w:szCs w:val="18"/>
              </w:rPr>
            </w:pPr>
            <w:r>
              <w:rPr>
                <w:rFonts w:hint="eastAsia"/>
                <w:sz w:val="18"/>
                <w:szCs w:val="18"/>
              </w:rPr>
              <w:t>/</w:t>
            </w:r>
          </w:p>
        </w:tc>
        <w:tc>
          <w:tcPr>
            <w:tcW w:w="533" w:type="pct"/>
            <w:vAlign w:val="center"/>
          </w:tcPr>
          <w:p w14:paraId="25268000">
            <w:pPr>
              <w:adjustRightInd w:val="0"/>
              <w:snapToGrid w:val="0"/>
              <w:jc w:val="center"/>
              <w:rPr>
                <w:sz w:val="18"/>
                <w:szCs w:val="18"/>
              </w:rPr>
            </w:pPr>
            <w:r>
              <w:rPr>
                <w:rFonts w:hint="eastAsia"/>
                <w:sz w:val="18"/>
                <w:szCs w:val="18"/>
              </w:rPr>
              <w:t>/</w:t>
            </w:r>
          </w:p>
        </w:tc>
        <w:tc>
          <w:tcPr>
            <w:tcW w:w="430" w:type="pct"/>
            <w:vAlign w:val="center"/>
          </w:tcPr>
          <w:p w14:paraId="51095066">
            <w:pPr>
              <w:adjustRightInd w:val="0"/>
              <w:snapToGrid w:val="0"/>
              <w:jc w:val="center"/>
              <w:rPr>
                <w:sz w:val="18"/>
                <w:szCs w:val="18"/>
              </w:rPr>
            </w:pPr>
            <w:r>
              <w:rPr>
                <w:rFonts w:hint="eastAsia"/>
                <w:sz w:val="18"/>
                <w:szCs w:val="18"/>
              </w:rPr>
              <w:t>1.733</w:t>
            </w:r>
          </w:p>
        </w:tc>
        <w:tc>
          <w:tcPr>
            <w:tcW w:w="533" w:type="pct"/>
            <w:shd w:val="clear" w:color="auto" w:fill="auto"/>
            <w:vAlign w:val="center"/>
          </w:tcPr>
          <w:p w14:paraId="6D5E2F12">
            <w:pPr>
              <w:adjustRightInd w:val="0"/>
              <w:snapToGrid w:val="0"/>
              <w:jc w:val="center"/>
              <w:rPr>
                <w:sz w:val="18"/>
                <w:szCs w:val="18"/>
              </w:rPr>
            </w:pPr>
            <w:r>
              <w:rPr>
                <w:rFonts w:hint="eastAsia"/>
                <w:sz w:val="18"/>
                <w:szCs w:val="18"/>
              </w:rPr>
              <w:t>/</w:t>
            </w:r>
          </w:p>
        </w:tc>
        <w:tc>
          <w:tcPr>
            <w:tcW w:w="302" w:type="pct"/>
            <w:vAlign w:val="center"/>
          </w:tcPr>
          <w:p w14:paraId="5140B375">
            <w:pPr>
              <w:adjustRightInd w:val="0"/>
              <w:snapToGrid w:val="0"/>
              <w:jc w:val="center"/>
              <w:rPr>
                <w:sz w:val="18"/>
                <w:szCs w:val="18"/>
              </w:rPr>
            </w:pPr>
            <w:r>
              <w:rPr>
                <w:rFonts w:hint="eastAsia"/>
                <w:sz w:val="18"/>
                <w:szCs w:val="18"/>
              </w:rPr>
              <w:t>0.334</w:t>
            </w:r>
          </w:p>
        </w:tc>
        <w:tc>
          <w:tcPr>
            <w:tcW w:w="353" w:type="pct"/>
            <w:vAlign w:val="center"/>
          </w:tcPr>
          <w:p w14:paraId="3A317B54">
            <w:pPr>
              <w:adjustRightInd w:val="0"/>
              <w:snapToGrid w:val="0"/>
              <w:jc w:val="center"/>
              <w:rPr>
                <w:sz w:val="18"/>
                <w:szCs w:val="18"/>
              </w:rPr>
            </w:pPr>
          </w:p>
        </w:tc>
        <w:tc>
          <w:tcPr>
            <w:tcW w:w="395" w:type="pct"/>
            <w:vAlign w:val="center"/>
          </w:tcPr>
          <w:p w14:paraId="1755079B">
            <w:pPr>
              <w:adjustRightInd w:val="0"/>
              <w:snapToGrid w:val="0"/>
              <w:jc w:val="center"/>
              <w:rPr>
                <w:sz w:val="18"/>
                <w:szCs w:val="18"/>
              </w:rPr>
            </w:pPr>
            <w:r>
              <w:rPr>
                <w:rFonts w:hint="eastAsia"/>
                <w:sz w:val="18"/>
                <w:szCs w:val="18"/>
              </w:rPr>
              <w:t>/</w:t>
            </w:r>
          </w:p>
        </w:tc>
        <w:tc>
          <w:tcPr>
            <w:tcW w:w="533" w:type="pct"/>
            <w:vAlign w:val="center"/>
          </w:tcPr>
          <w:p w14:paraId="341180BA">
            <w:pPr>
              <w:adjustRightInd w:val="0"/>
              <w:snapToGrid w:val="0"/>
              <w:jc w:val="center"/>
              <w:rPr>
                <w:sz w:val="18"/>
                <w:szCs w:val="18"/>
              </w:rPr>
            </w:pPr>
            <w:r>
              <w:rPr>
                <w:rFonts w:hint="eastAsia"/>
                <w:sz w:val="18"/>
                <w:szCs w:val="18"/>
              </w:rPr>
              <w:t>/</w:t>
            </w:r>
          </w:p>
        </w:tc>
        <w:tc>
          <w:tcPr>
            <w:tcW w:w="533" w:type="pct"/>
            <w:vAlign w:val="center"/>
          </w:tcPr>
          <w:p w14:paraId="1E843AFC">
            <w:pPr>
              <w:adjustRightInd w:val="0"/>
              <w:snapToGrid w:val="0"/>
              <w:jc w:val="center"/>
              <w:rPr>
                <w:sz w:val="18"/>
                <w:szCs w:val="18"/>
              </w:rPr>
            </w:pPr>
            <w:r>
              <w:rPr>
                <w:rFonts w:hint="eastAsia"/>
                <w:sz w:val="18"/>
                <w:szCs w:val="18"/>
              </w:rPr>
              <w:t>1200</w:t>
            </w:r>
          </w:p>
        </w:tc>
      </w:tr>
    </w:tbl>
    <w:p w14:paraId="5825D505">
      <w:pPr>
        <w:adjustRightInd w:val="0"/>
        <w:snapToGrid w:val="0"/>
        <w:spacing w:line="360" w:lineRule="auto"/>
        <w:ind w:firstLine="480" w:firstLineChars="200"/>
        <w:rPr>
          <w:sz w:val="24"/>
          <w:szCs w:val="24"/>
        </w:rPr>
      </w:pPr>
      <w:bookmarkStart w:id="26" w:name="_Toc13307"/>
      <w:r>
        <w:rPr>
          <w:rFonts w:hint="eastAsia"/>
          <w:sz w:val="24"/>
          <w:szCs w:val="24"/>
        </w:rPr>
        <w:t>（</w:t>
      </w:r>
      <w:r>
        <w:rPr>
          <w:sz w:val="24"/>
          <w:szCs w:val="24"/>
        </w:rPr>
        <w:t>2</w:t>
      </w:r>
      <w:r>
        <w:rPr>
          <w:rFonts w:hint="eastAsia"/>
          <w:sz w:val="24"/>
          <w:szCs w:val="24"/>
        </w:rPr>
        <w:t>）生产废气处理设施及排气筒设置情况</w:t>
      </w:r>
      <w:bookmarkEnd w:id="26"/>
    </w:p>
    <w:p w14:paraId="3E69F6E9">
      <w:pPr>
        <w:adjustRightInd w:val="0"/>
        <w:snapToGrid w:val="0"/>
        <w:spacing w:line="360" w:lineRule="auto"/>
        <w:ind w:firstLine="480" w:firstLineChars="200"/>
        <w:rPr>
          <w:sz w:val="24"/>
          <w:szCs w:val="24"/>
        </w:rPr>
      </w:pPr>
      <w:r>
        <w:rPr>
          <w:rFonts w:hint="eastAsia"/>
          <w:sz w:val="24"/>
          <w:szCs w:val="24"/>
        </w:rPr>
        <w:t>本项目共设置1套生产废气处理设施，对应1根排气筒，根据设计方案，其设置情况如下。</w:t>
      </w:r>
    </w:p>
    <w:p w14:paraId="0232172C">
      <w:pPr>
        <w:pStyle w:val="116"/>
        <w:numPr>
          <w:ilvl w:val="0"/>
          <w:numId w:val="22"/>
        </w:numPr>
        <w:spacing w:before="0" w:beforeLines="0"/>
        <w:ind w:left="0"/>
      </w:pPr>
      <w:bookmarkStart w:id="27" w:name="OLE_LINK12"/>
      <w:r>
        <w:rPr>
          <w:rFonts w:hint="eastAsia"/>
        </w:rPr>
        <w:t>废气处理设施及排气筒设置情况</w:t>
      </w:r>
    </w:p>
    <w:bookmarkEnd w:id="27"/>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373"/>
        <w:gridCol w:w="1134"/>
        <w:gridCol w:w="973"/>
        <w:gridCol w:w="2076"/>
        <w:gridCol w:w="1068"/>
        <w:gridCol w:w="1764"/>
        <w:gridCol w:w="679"/>
      </w:tblGrid>
      <w:tr w14:paraId="6CA3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65" w:type="dxa"/>
            <w:vAlign w:val="center"/>
          </w:tcPr>
          <w:p w14:paraId="56AFB43F">
            <w:pPr>
              <w:adjustRightInd w:val="0"/>
              <w:snapToGrid w:val="0"/>
              <w:ind w:left="-105" w:leftChars="-50" w:right="-105" w:rightChars="-50"/>
              <w:jc w:val="center"/>
            </w:pPr>
            <w:r>
              <w:rPr>
                <w:rFonts w:hint="eastAsia"/>
              </w:rPr>
              <w:t>编号</w:t>
            </w:r>
          </w:p>
        </w:tc>
        <w:tc>
          <w:tcPr>
            <w:tcW w:w="1373" w:type="dxa"/>
            <w:vAlign w:val="center"/>
          </w:tcPr>
          <w:p w14:paraId="2DA2B6BF">
            <w:pPr>
              <w:adjustRightInd w:val="0"/>
              <w:snapToGrid w:val="0"/>
              <w:ind w:left="-105" w:leftChars="-50" w:right="-105" w:rightChars="-50"/>
              <w:jc w:val="center"/>
            </w:pPr>
            <w:r>
              <w:t>废气名称</w:t>
            </w:r>
          </w:p>
        </w:tc>
        <w:tc>
          <w:tcPr>
            <w:tcW w:w="1134" w:type="dxa"/>
            <w:vAlign w:val="center"/>
          </w:tcPr>
          <w:p w14:paraId="56499068">
            <w:pPr>
              <w:adjustRightInd w:val="0"/>
              <w:snapToGrid w:val="0"/>
              <w:ind w:left="-105" w:leftChars="-50" w:right="-105" w:rightChars="-50"/>
              <w:jc w:val="center"/>
            </w:pPr>
            <w:r>
              <w:t>对应设备</w:t>
            </w:r>
          </w:p>
        </w:tc>
        <w:tc>
          <w:tcPr>
            <w:tcW w:w="973" w:type="dxa"/>
            <w:vAlign w:val="center"/>
          </w:tcPr>
          <w:p w14:paraId="5F35C982">
            <w:pPr>
              <w:adjustRightInd w:val="0"/>
              <w:snapToGrid w:val="0"/>
              <w:ind w:left="-105" w:leftChars="-50" w:right="-105" w:rightChars="-50"/>
              <w:jc w:val="center"/>
            </w:pPr>
            <w:r>
              <w:rPr>
                <w:rFonts w:hint="eastAsia"/>
              </w:rPr>
              <w:t>年运行时长h</w:t>
            </w:r>
            <w:r>
              <w:t>/a</w:t>
            </w:r>
          </w:p>
        </w:tc>
        <w:tc>
          <w:tcPr>
            <w:tcW w:w="2076" w:type="dxa"/>
            <w:vAlign w:val="center"/>
          </w:tcPr>
          <w:p w14:paraId="2D80775D">
            <w:pPr>
              <w:adjustRightInd w:val="0"/>
              <w:snapToGrid w:val="0"/>
              <w:ind w:left="-105" w:leftChars="-50" w:right="-105" w:rightChars="-50"/>
              <w:jc w:val="center"/>
            </w:pPr>
            <w:r>
              <w:rPr>
                <w:rFonts w:hint="eastAsia"/>
              </w:rPr>
              <w:t>污染物名称</w:t>
            </w:r>
          </w:p>
        </w:tc>
        <w:tc>
          <w:tcPr>
            <w:tcW w:w="1068" w:type="dxa"/>
            <w:vAlign w:val="center"/>
          </w:tcPr>
          <w:p w14:paraId="346FFD48">
            <w:pPr>
              <w:adjustRightInd w:val="0"/>
              <w:snapToGrid w:val="0"/>
              <w:ind w:left="-105" w:leftChars="-50" w:right="-105" w:rightChars="-50"/>
              <w:jc w:val="center"/>
            </w:pPr>
            <w:r>
              <w:t>排气筒编号</w:t>
            </w:r>
          </w:p>
        </w:tc>
        <w:tc>
          <w:tcPr>
            <w:tcW w:w="1764" w:type="dxa"/>
            <w:vAlign w:val="center"/>
          </w:tcPr>
          <w:p w14:paraId="47548C78">
            <w:pPr>
              <w:adjustRightInd w:val="0"/>
              <w:snapToGrid w:val="0"/>
              <w:ind w:left="-105" w:leftChars="-50" w:right="-105" w:rightChars="-50"/>
              <w:jc w:val="center"/>
            </w:pPr>
            <w:r>
              <w:t>废气处理设施编号及工艺</w:t>
            </w:r>
          </w:p>
        </w:tc>
        <w:tc>
          <w:tcPr>
            <w:tcW w:w="679" w:type="dxa"/>
            <w:vAlign w:val="center"/>
          </w:tcPr>
          <w:p w14:paraId="119DC538">
            <w:pPr>
              <w:adjustRightInd w:val="0"/>
              <w:snapToGrid w:val="0"/>
              <w:ind w:left="-105" w:leftChars="-50" w:right="-105" w:rightChars="-50"/>
              <w:jc w:val="center"/>
            </w:pPr>
            <w:r>
              <w:rPr>
                <w:rFonts w:hint="eastAsia"/>
              </w:rPr>
              <w:t>风量</w:t>
            </w:r>
          </w:p>
        </w:tc>
      </w:tr>
      <w:tr w14:paraId="30A8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5C120329">
            <w:pPr>
              <w:adjustRightInd w:val="0"/>
              <w:snapToGrid w:val="0"/>
              <w:ind w:left="-105" w:leftChars="-50" w:right="-105" w:rightChars="-50"/>
              <w:jc w:val="center"/>
            </w:pPr>
            <w:r>
              <w:rPr>
                <w:rFonts w:hint="eastAsia"/>
              </w:rPr>
              <w:t>1</w:t>
            </w:r>
          </w:p>
        </w:tc>
        <w:tc>
          <w:tcPr>
            <w:tcW w:w="1373" w:type="dxa"/>
            <w:vAlign w:val="center"/>
          </w:tcPr>
          <w:p w14:paraId="3A102060">
            <w:pPr>
              <w:adjustRightInd w:val="0"/>
              <w:snapToGrid w:val="0"/>
              <w:ind w:left="-105" w:leftChars="-50" w:right="-105" w:rightChars="-50"/>
              <w:jc w:val="center"/>
            </w:pPr>
            <w:r>
              <w:rPr>
                <w:rFonts w:hint="eastAsia"/>
              </w:rPr>
              <w:t>油漆废气</w:t>
            </w:r>
          </w:p>
        </w:tc>
        <w:tc>
          <w:tcPr>
            <w:tcW w:w="1134" w:type="dxa"/>
            <w:vAlign w:val="center"/>
          </w:tcPr>
          <w:p w14:paraId="17B6CC9B">
            <w:pPr>
              <w:adjustRightInd w:val="0"/>
              <w:snapToGrid w:val="0"/>
              <w:ind w:left="-105" w:leftChars="-50" w:right="-105" w:rightChars="-50"/>
              <w:jc w:val="center"/>
            </w:pPr>
            <w:r>
              <w:rPr>
                <w:rFonts w:hint="eastAsia"/>
              </w:rPr>
              <w:t>喷漆房、晾干房</w:t>
            </w:r>
          </w:p>
        </w:tc>
        <w:tc>
          <w:tcPr>
            <w:tcW w:w="973" w:type="dxa"/>
            <w:vAlign w:val="center"/>
          </w:tcPr>
          <w:p w14:paraId="5AD425F5">
            <w:pPr>
              <w:adjustRightInd w:val="0"/>
              <w:snapToGrid w:val="0"/>
              <w:ind w:left="-105" w:leftChars="-50" w:right="-105" w:rightChars="-50"/>
              <w:jc w:val="center"/>
              <w:rPr>
                <w:kern w:val="0"/>
              </w:rPr>
            </w:pPr>
            <w:r>
              <w:rPr>
                <w:rFonts w:hint="eastAsia"/>
                <w:kern w:val="0"/>
              </w:rPr>
              <w:t>1200</w:t>
            </w:r>
          </w:p>
        </w:tc>
        <w:tc>
          <w:tcPr>
            <w:tcW w:w="2076" w:type="dxa"/>
            <w:vAlign w:val="center"/>
          </w:tcPr>
          <w:p w14:paraId="17C10511">
            <w:pPr>
              <w:adjustRightInd w:val="0"/>
              <w:snapToGrid w:val="0"/>
              <w:ind w:left="-105" w:leftChars="-50" w:right="-105" w:rightChars="-50"/>
              <w:jc w:val="center"/>
              <w:rPr>
                <w:rFonts w:hint="default" w:eastAsia="宋体"/>
                <w:lang w:val="en-US" w:eastAsia="zh-CN"/>
              </w:rPr>
            </w:pPr>
            <w:r>
              <w:rPr>
                <w:rFonts w:hint="eastAsia"/>
              </w:rPr>
              <w:t>TVOC</w:t>
            </w:r>
            <w:r>
              <w:rPr>
                <w:rFonts w:hint="eastAsia"/>
                <w:lang w:eastAsia="zh-CN"/>
              </w:rPr>
              <w:t>、</w:t>
            </w:r>
            <w:r>
              <w:rPr>
                <w:rFonts w:hint="eastAsia"/>
                <w:lang w:val="en-US" w:eastAsia="zh-CN"/>
              </w:rPr>
              <w:t>臭气浓度</w:t>
            </w:r>
          </w:p>
        </w:tc>
        <w:tc>
          <w:tcPr>
            <w:tcW w:w="1068" w:type="dxa"/>
            <w:vAlign w:val="center"/>
          </w:tcPr>
          <w:p w14:paraId="62EC2794">
            <w:pPr>
              <w:adjustRightInd w:val="0"/>
              <w:snapToGrid w:val="0"/>
              <w:ind w:left="-105" w:leftChars="-50" w:right="-105" w:rightChars="-50"/>
              <w:jc w:val="center"/>
            </w:pPr>
            <w:r>
              <w:rPr>
                <w:rFonts w:hint="eastAsia"/>
              </w:rPr>
              <w:t>DA001</w:t>
            </w:r>
          </w:p>
        </w:tc>
        <w:tc>
          <w:tcPr>
            <w:tcW w:w="1764" w:type="dxa"/>
            <w:vAlign w:val="center"/>
          </w:tcPr>
          <w:p w14:paraId="18B740C5">
            <w:pPr>
              <w:adjustRightInd w:val="0"/>
              <w:snapToGrid w:val="0"/>
              <w:ind w:left="-105" w:leftChars="-50" w:right="-105" w:rightChars="-50"/>
              <w:jc w:val="center"/>
            </w:pPr>
            <w:r>
              <w:rPr>
                <w:rFonts w:hint="eastAsia"/>
              </w:rPr>
              <w:t>1#“两级活性炭”吸附装置</w:t>
            </w:r>
          </w:p>
        </w:tc>
        <w:tc>
          <w:tcPr>
            <w:tcW w:w="679" w:type="dxa"/>
            <w:vAlign w:val="center"/>
          </w:tcPr>
          <w:p w14:paraId="493C7D8A">
            <w:pPr>
              <w:adjustRightInd w:val="0"/>
              <w:snapToGrid w:val="0"/>
              <w:ind w:left="-105" w:leftChars="-50" w:right="-105" w:rightChars="-50"/>
              <w:jc w:val="center"/>
            </w:pPr>
            <w:r>
              <w:rPr>
                <w:rFonts w:hint="eastAsia"/>
              </w:rPr>
              <w:t>15000</w:t>
            </w:r>
          </w:p>
        </w:tc>
      </w:tr>
    </w:tbl>
    <w:p w14:paraId="5A6286F3">
      <w:pPr>
        <w:adjustRightInd w:val="0"/>
        <w:snapToGrid w:val="0"/>
        <w:spacing w:line="360" w:lineRule="auto"/>
        <w:ind w:firstLine="480" w:firstLineChars="200"/>
        <w:rPr>
          <w:sz w:val="24"/>
          <w:szCs w:val="24"/>
        </w:rPr>
      </w:pPr>
      <w:bookmarkStart w:id="28" w:name="_Toc20986"/>
      <w:r>
        <w:rPr>
          <w:rFonts w:hint="eastAsia"/>
          <w:sz w:val="24"/>
          <w:szCs w:val="24"/>
        </w:rPr>
        <w:t>（3）汇总</w:t>
      </w:r>
      <w:bookmarkEnd w:id="28"/>
    </w:p>
    <w:p w14:paraId="10DFFCFC">
      <w:pPr>
        <w:adjustRightInd w:val="0"/>
        <w:snapToGrid w:val="0"/>
        <w:spacing w:line="360" w:lineRule="auto"/>
        <w:ind w:firstLine="480" w:firstLineChars="200"/>
        <w:rPr>
          <w:sz w:val="24"/>
          <w:szCs w:val="24"/>
        </w:rPr>
        <w:sectPr>
          <w:pgSz w:w="11906" w:h="16838"/>
          <w:pgMar w:top="1418" w:right="1230" w:bottom="1418" w:left="1134" w:header="851" w:footer="992" w:gutter="0"/>
          <w:pgNumType w:fmt="decimal"/>
          <w:cols w:space="425" w:num="1"/>
          <w:docGrid w:type="linesAndChars" w:linePitch="312" w:charSpace="0"/>
        </w:sectPr>
      </w:pPr>
      <w:r>
        <w:rPr>
          <w:rFonts w:hint="eastAsia"/>
          <w:sz w:val="24"/>
          <w:szCs w:val="24"/>
        </w:rPr>
        <w:t>根据企业废气收集处理方案，废气产排情况如下。</w:t>
      </w:r>
    </w:p>
    <w:p w14:paraId="7BF907D1">
      <w:pPr>
        <w:adjustRightInd w:val="0"/>
        <w:snapToGrid w:val="0"/>
        <w:spacing w:line="360" w:lineRule="auto"/>
        <w:ind w:firstLine="480" w:firstLineChars="200"/>
        <w:rPr>
          <w:sz w:val="24"/>
          <w:szCs w:val="24"/>
        </w:rPr>
      </w:pPr>
    </w:p>
    <w:p w14:paraId="1BADC694">
      <w:pPr>
        <w:pStyle w:val="116"/>
        <w:numPr>
          <w:ilvl w:val="0"/>
          <w:numId w:val="22"/>
        </w:numPr>
        <w:spacing w:before="0" w:beforeLines="0"/>
        <w:ind w:left="0"/>
      </w:pPr>
      <w:r>
        <w:rPr>
          <w:rFonts w:hint="eastAsia"/>
        </w:rPr>
        <w:t>废气产排情况</w:t>
      </w:r>
    </w:p>
    <w:tbl>
      <w:tblPr>
        <w:tblStyle w:val="88"/>
        <w:tblW w:w="5017"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06"/>
        <w:gridCol w:w="923"/>
        <w:gridCol w:w="934"/>
        <w:gridCol w:w="934"/>
        <w:gridCol w:w="934"/>
        <w:gridCol w:w="886"/>
        <w:gridCol w:w="743"/>
        <w:gridCol w:w="954"/>
        <w:gridCol w:w="850"/>
        <w:gridCol w:w="768"/>
        <w:gridCol w:w="709"/>
        <w:gridCol w:w="928"/>
        <w:gridCol w:w="698"/>
        <w:gridCol w:w="673"/>
        <w:gridCol w:w="790"/>
        <w:gridCol w:w="832"/>
        <w:gridCol w:w="590"/>
      </w:tblGrid>
      <w:tr w14:paraId="34EE2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restart"/>
            <w:vAlign w:val="center"/>
          </w:tcPr>
          <w:p w14:paraId="74A7D3BC">
            <w:pPr>
              <w:widowControl/>
              <w:jc w:val="center"/>
              <w:rPr>
                <w:kern w:val="0"/>
                <w:sz w:val="18"/>
                <w:szCs w:val="18"/>
              </w:rPr>
            </w:pPr>
            <w:r>
              <w:rPr>
                <w:rFonts w:hint="eastAsia"/>
                <w:kern w:val="0"/>
                <w:sz w:val="18"/>
                <w:szCs w:val="18"/>
              </w:rPr>
              <w:t>工序/</w:t>
            </w:r>
          </w:p>
          <w:p w14:paraId="6572C76F">
            <w:pPr>
              <w:widowControl/>
              <w:jc w:val="center"/>
              <w:rPr>
                <w:kern w:val="0"/>
                <w:sz w:val="18"/>
                <w:szCs w:val="18"/>
              </w:rPr>
            </w:pPr>
            <w:r>
              <w:rPr>
                <w:rFonts w:hint="eastAsia"/>
                <w:kern w:val="0"/>
                <w:sz w:val="18"/>
                <w:szCs w:val="18"/>
              </w:rPr>
              <w:t>生产线</w:t>
            </w:r>
          </w:p>
        </w:tc>
        <w:tc>
          <w:tcPr>
            <w:tcW w:w="328" w:type="pct"/>
            <w:vMerge w:val="restart"/>
            <w:vAlign w:val="center"/>
          </w:tcPr>
          <w:p w14:paraId="7F59DC24">
            <w:pPr>
              <w:widowControl/>
              <w:jc w:val="center"/>
              <w:rPr>
                <w:kern w:val="0"/>
                <w:sz w:val="18"/>
                <w:szCs w:val="18"/>
              </w:rPr>
            </w:pPr>
            <w:r>
              <w:rPr>
                <w:rFonts w:hint="eastAsia"/>
                <w:kern w:val="0"/>
                <w:sz w:val="18"/>
                <w:szCs w:val="18"/>
              </w:rPr>
              <w:t>装置</w:t>
            </w:r>
          </w:p>
        </w:tc>
        <w:tc>
          <w:tcPr>
            <w:tcW w:w="332" w:type="pct"/>
            <w:vMerge w:val="restart"/>
            <w:vAlign w:val="center"/>
          </w:tcPr>
          <w:p w14:paraId="355F43B8">
            <w:pPr>
              <w:widowControl/>
              <w:jc w:val="center"/>
              <w:rPr>
                <w:kern w:val="0"/>
                <w:sz w:val="18"/>
                <w:szCs w:val="18"/>
              </w:rPr>
            </w:pPr>
            <w:r>
              <w:rPr>
                <w:rFonts w:hint="eastAsia"/>
                <w:kern w:val="0"/>
                <w:sz w:val="18"/>
                <w:szCs w:val="18"/>
              </w:rPr>
              <w:t>污染源</w:t>
            </w:r>
          </w:p>
        </w:tc>
        <w:tc>
          <w:tcPr>
            <w:tcW w:w="332" w:type="pct"/>
            <w:vMerge w:val="restart"/>
            <w:vAlign w:val="center"/>
          </w:tcPr>
          <w:p w14:paraId="22B5C063">
            <w:pPr>
              <w:widowControl/>
              <w:jc w:val="center"/>
              <w:rPr>
                <w:kern w:val="0"/>
                <w:sz w:val="18"/>
                <w:szCs w:val="18"/>
              </w:rPr>
            </w:pPr>
            <w:r>
              <w:rPr>
                <w:rFonts w:hint="eastAsia"/>
                <w:kern w:val="0"/>
                <w:sz w:val="18"/>
                <w:szCs w:val="18"/>
              </w:rPr>
              <w:t>污染物</w:t>
            </w:r>
          </w:p>
        </w:tc>
        <w:tc>
          <w:tcPr>
            <w:tcW w:w="1553" w:type="pct"/>
            <w:gridSpan w:val="5"/>
            <w:vAlign w:val="center"/>
          </w:tcPr>
          <w:p w14:paraId="31A267F0">
            <w:pPr>
              <w:widowControl/>
              <w:jc w:val="center"/>
              <w:rPr>
                <w:kern w:val="0"/>
                <w:sz w:val="18"/>
                <w:szCs w:val="18"/>
              </w:rPr>
            </w:pPr>
            <w:r>
              <w:rPr>
                <w:rFonts w:hint="eastAsia"/>
                <w:kern w:val="0"/>
                <w:sz w:val="18"/>
                <w:szCs w:val="18"/>
              </w:rPr>
              <w:t>污染物产生</w:t>
            </w:r>
          </w:p>
        </w:tc>
        <w:tc>
          <w:tcPr>
            <w:tcW w:w="525" w:type="pct"/>
            <w:gridSpan w:val="2"/>
            <w:vAlign w:val="center"/>
          </w:tcPr>
          <w:p w14:paraId="3E7A3116">
            <w:pPr>
              <w:widowControl/>
              <w:jc w:val="center"/>
              <w:rPr>
                <w:kern w:val="0"/>
                <w:sz w:val="18"/>
                <w:szCs w:val="18"/>
              </w:rPr>
            </w:pPr>
            <w:r>
              <w:rPr>
                <w:rFonts w:hint="eastAsia"/>
                <w:kern w:val="0"/>
                <w:sz w:val="18"/>
                <w:szCs w:val="18"/>
              </w:rPr>
              <w:t>治理措施</w:t>
            </w:r>
          </w:p>
        </w:tc>
        <w:tc>
          <w:tcPr>
            <w:tcW w:w="1395" w:type="pct"/>
            <w:gridSpan w:val="5"/>
            <w:vAlign w:val="center"/>
          </w:tcPr>
          <w:p w14:paraId="70B9FD18">
            <w:pPr>
              <w:widowControl/>
              <w:jc w:val="center"/>
              <w:rPr>
                <w:kern w:val="0"/>
                <w:sz w:val="18"/>
                <w:szCs w:val="18"/>
              </w:rPr>
            </w:pPr>
            <w:r>
              <w:rPr>
                <w:rFonts w:hint="eastAsia"/>
                <w:kern w:val="0"/>
                <w:sz w:val="18"/>
                <w:szCs w:val="18"/>
              </w:rPr>
              <w:t>污染物排放</w:t>
            </w:r>
          </w:p>
        </w:tc>
        <w:tc>
          <w:tcPr>
            <w:tcW w:w="209" w:type="pct"/>
            <w:vMerge w:val="restart"/>
            <w:vAlign w:val="center"/>
          </w:tcPr>
          <w:p w14:paraId="2A2F7556">
            <w:pPr>
              <w:widowControl/>
              <w:jc w:val="center"/>
              <w:rPr>
                <w:kern w:val="0"/>
                <w:sz w:val="18"/>
                <w:szCs w:val="18"/>
              </w:rPr>
            </w:pPr>
            <w:r>
              <w:rPr>
                <w:rFonts w:hint="eastAsia"/>
                <w:kern w:val="0"/>
                <w:sz w:val="18"/>
                <w:szCs w:val="18"/>
              </w:rPr>
              <w:t>排放</w:t>
            </w:r>
          </w:p>
          <w:p w14:paraId="79B52234">
            <w:pPr>
              <w:widowControl/>
              <w:jc w:val="center"/>
              <w:rPr>
                <w:kern w:val="0"/>
                <w:sz w:val="18"/>
                <w:szCs w:val="18"/>
              </w:rPr>
            </w:pPr>
            <w:r>
              <w:rPr>
                <w:rFonts w:hint="eastAsia"/>
                <w:kern w:val="0"/>
                <w:sz w:val="18"/>
                <w:szCs w:val="18"/>
              </w:rPr>
              <w:t>时间</w:t>
            </w:r>
          </w:p>
        </w:tc>
      </w:tr>
      <w:tr w14:paraId="2CEA81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continue"/>
            <w:vAlign w:val="center"/>
          </w:tcPr>
          <w:p w14:paraId="3050ED30">
            <w:pPr>
              <w:widowControl/>
              <w:jc w:val="center"/>
              <w:rPr>
                <w:kern w:val="0"/>
                <w:sz w:val="18"/>
                <w:szCs w:val="18"/>
              </w:rPr>
            </w:pPr>
          </w:p>
        </w:tc>
        <w:tc>
          <w:tcPr>
            <w:tcW w:w="328" w:type="pct"/>
            <w:vMerge w:val="continue"/>
            <w:vAlign w:val="center"/>
          </w:tcPr>
          <w:p w14:paraId="2BA80E53">
            <w:pPr>
              <w:widowControl/>
              <w:jc w:val="center"/>
              <w:rPr>
                <w:kern w:val="0"/>
                <w:sz w:val="18"/>
                <w:szCs w:val="18"/>
              </w:rPr>
            </w:pPr>
          </w:p>
        </w:tc>
        <w:tc>
          <w:tcPr>
            <w:tcW w:w="332" w:type="pct"/>
            <w:vMerge w:val="continue"/>
            <w:vAlign w:val="center"/>
          </w:tcPr>
          <w:p w14:paraId="693A4F5B">
            <w:pPr>
              <w:widowControl/>
              <w:jc w:val="center"/>
              <w:rPr>
                <w:kern w:val="0"/>
                <w:sz w:val="18"/>
                <w:szCs w:val="18"/>
              </w:rPr>
            </w:pPr>
          </w:p>
        </w:tc>
        <w:tc>
          <w:tcPr>
            <w:tcW w:w="332" w:type="pct"/>
            <w:vMerge w:val="continue"/>
            <w:vAlign w:val="center"/>
          </w:tcPr>
          <w:p w14:paraId="7D0341A7">
            <w:pPr>
              <w:widowControl/>
              <w:jc w:val="center"/>
              <w:rPr>
                <w:kern w:val="0"/>
                <w:sz w:val="18"/>
                <w:szCs w:val="18"/>
              </w:rPr>
            </w:pPr>
          </w:p>
        </w:tc>
        <w:tc>
          <w:tcPr>
            <w:tcW w:w="332" w:type="pct"/>
            <w:vMerge w:val="restart"/>
            <w:vAlign w:val="center"/>
          </w:tcPr>
          <w:p w14:paraId="00FA9D95">
            <w:pPr>
              <w:widowControl/>
              <w:jc w:val="center"/>
              <w:rPr>
                <w:kern w:val="0"/>
                <w:sz w:val="18"/>
                <w:szCs w:val="18"/>
              </w:rPr>
            </w:pPr>
            <w:r>
              <w:rPr>
                <w:rFonts w:hint="eastAsia"/>
                <w:kern w:val="0"/>
                <w:sz w:val="18"/>
                <w:szCs w:val="18"/>
              </w:rPr>
              <w:t>核算</w:t>
            </w:r>
          </w:p>
          <w:p w14:paraId="297BFEA0">
            <w:pPr>
              <w:widowControl/>
              <w:jc w:val="center"/>
              <w:rPr>
                <w:kern w:val="0"/>
                <w:sz w:val="18"/>
                <w:szCs w:val="18"/>
              </w:rPr>
            </w:pPr>
            <w:r>
              <w:rPr>
                <w:rFonts w:hint="eastAsia"/>
                <w:kern w:val="0"/>
                <w:sz w:val="18"/>
                <w:szCs w:val="18"/>
              </w:rPr>
              <w:t>方法</w:t>
            </w:r>
          </w:p>
        </w:tc>
        <w:tc>
          <w:tcPr>
            <w:tcW w:w="315" w:type="pct"/>
            <w:vAlign w:val="center"/>
          </w:tcPr>
          <w:p w14:paraId="14E3FB06">
            <w:pPr>
              <w:widowControl/>
              <w:jc w:val="center"/>
              <w:rPr>
                <w:kern w:val="0"/>
                <w:sz w:val="18"/>
                <w:szCs w:val="18"/>
              </w:rPr>
            </w:pPr>
            <w:r>
              <w:rPr>
                <w:rFonts w:hint="eastAsia"/>
                <w:kern w:val="0"/>
                <w:sz w:val="18"/>
                <w:szCs w:val="18"/>
              </w:rPr>
              <w:t>废气量</w:t>
            </w:r>
          </w:p>
        </w:tc>
        <w:tc>
          <w:tcPr>
            <w:tcW w:w="264" w:type="pct"/>
            <w:vAlign w:val="center"/>
          </w:tcPr>
          <w:p w14:paraId="0921CB52">
            <w:pPr>
              <w:widowControl/>
              <w:jc w:val="center"/>
              <w:rPr>
                <w:kern w:val="0"/>
                <w:sz w:val="18"/>
                <w:szCs w:val="18"/>
              </w:rPr>
            </w:pPr>
            <w:r>
              <w:rPr>
                <w:rFonts w:hint="eastAsia"/>
                <w:kern w:val="0"/>
                <w:sz w:val="18"/>
                <w:szCs w:val="18"/>
              </w:rPr>
              <w:t>产生</w:t>
            </w:r>
          </w:p>
          <w:p w14:paraId="7081B21C">
            <w:pPr>
              <w:widowControl/>
              <w:jc w:val="center"/>
              <w:rPr>
                <w:kern w:val="0"/>
                <w:sz w:val="18"/>
                <w:szCs w:val="18"/>
              </w:rPr>
            </w:pPr>
            <w:r>
              <w:rPr>
                <w:rFonts w:hint="eastAsia"/>
                <w:kern w:val="0"/>
                <w:sz w:val="18"/>
                <w:szCs w:val="18"/>
              </w:rPr>
              <w:t>速率</w:t>
            </w:r>
          </w:p>
        </w:tc>
        <w:tc>
          <w:tcPr>
            <w:tcW w:w="339" w:type="pct"/>
            <w:vAlign w:val="center"/>
          </w:tcPr>
          <w:p w14:paraId="3A9ACFE6">
            <w:pPr>
              <w:widowControl/>
              <w:jc w:val="center"/>
              <w:rPr>
                <w:kern w:val="0"/>
                <w:sz w:val="18"/>
                <w:szCs w:val="18"/>
              </w:rPr>
            </w:pPr>
            <w:r>
              <w:rPr>
                <w:rFonts w:hint="eastAsia"/>
                <w:kern w:val="0"/>
                <w:sz w:val="18"/>
                <w:szCs w:val="18"/>
              </w:rPr>
              <w:t>产生</w:t>
            </w:r>
          </w:p>
          <w:p w14:paraId="60268631">
            <w:pPr>
              <w:widowControl/>
              <w:jc w:val="center"/>
              <w:rPr>
                <w:kern w:val="0"/>
                <w:sz w:val="18"/>
                <w:szCs w:val="18"/>
              </w:rPr>
            </w:pPr>
            <w:r>
              <w:rPr>
                <w:rFonts w:hint="eastAsia"/>
                <w:kern w:val="0"/>
                <w:sz w:val="18"/>
                <w:szCs w:val="18"/>
              </w:rPr>
              <w:t>浓度</w:t>
            </w:r>
          </w:p>
        </w:tc>
        <w:tc>
          <w:tcPr>
            <w:tcW w:w="302" w:type="pct"/>
            <w:vAlign w:val="center"/>
          </w:tcPr>
          <w:p w14:paraId="40F6E542">
            <w:pPr>
              <w:widowControl/>
              <w:jc w:val="center"/>
              <w:rPr>
                <w:kern w:val="0"/>
                <w:sz w:val="18"/>
                <w:szCs w:val="18"/>
              </w:rPr>
            </w:pPr>
            <w:r>
              <w:rPr>
                <w:rFonts w:hint="eastAsia"/>
                <w:kern w:val="0"/>
                <w:sz w:val="18"/>
                <w:szCs w:val="18"/>
              </w:rPr>
              <w:t>产生量</w:t>
            </w:r>
          </w:p>
        </w:tc>
        <w:tc>
          <w:tcPr>
            <w:tcW w:w="273" w:type="pct"/>
            <w:vMerge w:val="restart"/>
            <w:vAlign w:val="center"/>
          </w:tcPr>
          <w:p w14:paraId="5AC5FE8D">
            <w:pPr>
              <w:widowControl/>
              <w:jc w:val="center"/>
              <w:rPr>
                <w:kern w:val="0"/>
                <w:sz w:val="18"/>
                <w:szCs w:val="18"/>
              </w:rPr>
            </w:pPr>
            <w:r>
              <w:rPr>
                <w:rFonts w:hint="eastAsia"/>
                <w:kern w:val="0"/>
                <w:sz w:val="18"/>
                <w:szCs w:val="18"/>
              </w:rPr>
              <w:t>工艺</w:t>
            </w:r>
          </w:p>
        </w:tc>
        <w:tc>
          <w:tcPr>
            <w:tcW w:w="252" w:type="pct"/>
            <w:vMerge w:val="restart"/>
            <w:vAlign w:val="center"/>
          </w:tcPr>
          <w:p w14:paraId="78C33E70">
            <w:pPr>
              <w:widowControl/>
              <w:jc w:val="center"/>
              <w:rPr>
                <w:kern w:val="0"/>
                <w:sz w:val="18"/>
                <w:szCs w:val="18"/>
              </w:rPr>
            </w:pPr>
            <w:r>
              <w:rPr>
                <w:rFonts w:hint="eastAsia"/>
                <w:kern w:val="0"/>
                <w:sz w:val="18"/>
                <w:szCs w:val="18"/>
              </w:rPr>
              <w:t>效率</w:t>
            </w:r>
          </w:p>
        </w:tc>
        <w:tc>
          <w:tcPr>
            <w:tcW w:w="330" w:type="pct"/>
            <w:vMerge w:val="restart"/>
            <w:vAlign w:val="center"/>
          </w:tcPr>
          <w:p w14:paraId="753F3902">
            <w:pPr>
              <w:widowControl/>
              <w:jc w:val="center"/>
              <w:rPr>
                <w:kern w:val="0"/>
                <w:sz w:val="18"/>
                <w:szCs w:val="18"/>
              </w:rPr>
            </w:pPr>
            <w:r>
              <w:rPr>
                <w:rFonts w:hint="eastAsia"/>
                <w:kern w:val="0"/>
                <w:sz w:val="18"/>
                <w:szCs w:val="18"/>
              </w:rPr>
              <w:t>核算</w:t>
            </w:r>
          </w:p>
          <w:p w14:paraId="157AF857">
            <w:pPr>
              <w:widowControl/>
              <w:jc w:val="center"/>
              <w:rPr>
                <w:kern w:val="0"/>
                <w:sz w:val="18"/>
                <w:szCs w:val="18"/>
              </w:rPr>
            </w:pPr>
            <w:r>
              <w:rPr>
                <w:rFonts w:hint="eastAsia"/>
                <w:kern w:val="0"/>
                <w:sz w:val="18"/>
                <w:szCs w:val="18"/>
              </w:rPr>
              <w:t>方法</w:t>
            </w:r>
          </w:p>
        </w:tc>
        <w:tc>
          <w:tcPr>
            <w:tcW w:w="248" w:type="pct"/>
            <w:vAlign w:val="center"/>
          </w:tcPr>
          <w:p w14:paraId="2995E9C3">
            <w:pPr>
              <w:widowControl/>
              <w:jc w:val="center"/>
              <w:rPr>
                <w:kern w:val="0"/>
                <w:sz w:val="18"/>
                <w:szCs w:val="18"/>
              </w:rPr>
            </w:pPr>
            <w:r>
              <w:rPr>
                <w:rFonts w:hint="eastAsia"/>
                <w:kern w:val="0"/>
                <w:sz w:val="18"/>
                <w:szCs w:val="18"/>
              </w:rPr>
              <w:t>废气</w:t>
            </w:r>
          </w:p>
          <w:p w14:paraId="7735B49B">
            <w:pPr>
              <w:widowControl/>
              <w:jc w:val="center"/>
              <w:rPr>
                <w:kern w:val="0"/>
                <w:sz w:val="18"/>
                <w:szCs w:val="18"/>
              </w:rPr>
            </w:pPr>
            <w:r>
              <w:rPr>
                <w:rFonts w:hint="eastAsia"/>
                <w:kern w:val="0"/>
                <w:sz w:val="18"/>
                <w:szCs w:val="18"/>
              </w:rPr>
              <w:t>量</w:t>
            </w:r>
          </w:p>
        </w:tc>
        <w:tc>
          <w:tcPr>
            <w:tcW w:w="239" w:type="pct"/>
            <w:vAlign w:val="center"/>
          </w:tcPr>
          <w:p w14:paraId="625E852F">
            <w:pPr>
              <w:widowControl/>
              <w:jc w:val="center"/>
              <w:rPr>
                <w:kern w:val="0"/>
                <w:sz w:val="18"/>
                <w:szCs w:val="18"/>
              </w:rPr>
            </w:pPr>
            <w:r>
              <w:rPr>
                <w:rFonts w:hint="eastAsia"/>
                <w:kern w:val="0"/>
                <w:sz w:val="18"/>
                <w:szCs w:val="18"/>
              </w:rPr>
              <w:t>排放</w:t>
            </w:r>
          </w:p>
          <w:p w14:paraId="5F28450C">
            <w:pPr>
              <w:widowControl/>
              <w:jc w:val="center"/>
              <w:rPr>
                <w:kern w:val="0"/>
                <w:sz w:val="18"/>
                <w:szCs w:val="18"/>
              </w:rPr>
            </w:pPr>
            <w:r>
              <w:rPr>
                <w:rFonts w:hint="eastAsia"/>
                <w:kern w:val="0"/>
                <w:sz w:val="18"/>
                <w:szCs w:val="18"/>
              </w:rPr>
              <w:t>速率</w:t>
            </w:r>
          </w:p>
        </w:tc>
        <w:tc>
          <w:tcPr>
            <w:tcW w:w="281" w:type="pct"/>
            <w:vAlign w:val="center"/>
          </w:tcPr>
          <w:p w14:paraId="26EDC98F">
            <w:pPr>
              <w:widowControl/>
              <w:jc w:val="center"/>
              <w:rPr>
                <w:kern w:val="0"/>
                <w:sz w:val="18"/>
                <w:szCs w:val="18"/>
              </w:rPr>
            </w:pPr>
            <w:r>
              <w:rPr>
                <w:rFonts w:hint="eastAsia"/>
                <w:kern w:val="0"/>
                <w:sz w:val="18"/>
                <w:szCs w:val="18"/>
              </w:rPr>
              <w:t>排放</w:t>
            </w:r>
          </w:p>
          <w:p w14:paraId="0B5A3185">
            <w:pPr>
              <w:widowControl/>
              <w:jc w:val="center"/>
              <w:rPr>
                <w:kern w:val="0"/>
                <w:sz w:val="18"/>
                <w:szCs w:val="18"/>
              </w:rPr>
            </w:pPr>
            <w:r>
              <w:rPr>
                <w:rFonts w:hint="eastAsia"/>
                <w:kern w:val="0"/>
                <w:sz w:val="18"/>
                <w:szCs w:val="18"/>
              </w:rPr>
              <w:t>浓度</w:t>
            </w:r>
          </w:p>
        </w:tc>
        <w:tc>
          <w:tcPr>
            <w:tcW w:w="296" w:type="pct"/>
            <w:vAlign w:val="center"/>
          </w:tcPr>
          <w:p w14:paraId="1E2A6222">
            <w:pPr>
              <w:widowControl/>
              <w:jc w:val="center"/>
              <w:rPr>
                <w:kern w:val="0"/>
                <w:sz w:val="18"/>
                <w:szCs w:val="18"/>
              </w:rPr>
            </w:pPr>
            <w:r>
              <w:rPr>
                <w:rFonts w:hint="eastAsia"/>
                <w:kern w:val="0"/>
                <w:sz w:val="18"/>
                <w:szCs w:val="18"/>
              </w:rPr>
              <w:t>排放量</w:t>
            </w:r>
          </w:p>
        </w:tc>
        <w:tc>
          <w:tcPr>
            <w:tcW w:w="209" w:type="pct"/>
            <w:vMerge w:val="continue"/>
            <w:vAlign w:val="center"/>
          </w:tcPr>
          <w:p w14:paraId="5B036946">
            <w:pPr>
              <w:widowControl/>
              <w:jc w:val="center"/>
              <w:rPr>
                <w:kern w:val="0"/>
                <w:sz w:val="18"/>
                <w:szCs w:val="18"/>
              </w:rPr>
            </w:pPr>
          </w:p>
        </w:tc>
      </w:tr>
      <w:tr w14:paraId="50221B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2" w:type="pct"/>
            <w:vMerge w:val="continue"/>
            <w:vAlign w:val="center"/>
          </w:tcPr>
          <w:p w14:paraId="3B800B4C">
            <w:pPr>
              <w:widowControl/>
              <w:jc w:val="center"/>
              <w:rPr>
                <w:kern w:val="0"/>
                <w:sz w:val="18"/>
                <w:szCs w:val="18"/>
              </w:rPr>
            </w:pPr>
          </w:p>
        </w:tc>
        <w:tc>
          <w:tcPr>
            <w:tcW w:w="328" w:type="pct"/>
            <w:vMerge w:val="continue"/>
            <w:vAlign w:val="center"/>
          </w:tcPr>
          <w:p w14:paraId="3A3E4212">
            <w:pPr>
              <w:widowControl/>
              <w:jc w:val="center"/>
              <w:rPr>
                <w:kern w:val="0"/>
                <w:sz w:val="18"/>
                <w:szCs w:val="18"/>
              </w:rPr>
            </w:pPr>
          </w:p>
        </w:tc>
        <w:tc>
          <w:tcPr>
            <w:tcW w:w="332" w:type="pct"/>
            <w:vMerge w:val="continue"/>
            <w:vAlign w:val="center"/>
          </w:tcPr>
          <w:p w14:paraId="01796FC1">
            <w:pPr>
              <w:widowControl/>
              <w:jc w:val="center"/>
              <w:rPr>
                <w:kern w:val="0"/>
                <w:sz w:val="18"/>
                <w:szCs w:val="18"/>
              </w:rPr>
            </w:pPr>
          </w:p>
        </w:tc>
        <w:tc>
          <w:tcPr>
            <w:tcW w:w="332" w:type="pct"/>
            <w:vMerge w:val="continue"/>
            <w:vAlign w:val="center"/>
          </w:tcPr>
          <w:p w14:paraId="2AC0EFF8">
            <w:pPr>
              <w:widowControl/>
              <w:jc w:val="center"/>
              <w:rPr>
                <w:kern w:val="0"/>
                <w:sz w:val="18"/>
                <w:szCs w:val="18"/>
              </w:rPr>
            </w:pPr>
          </w:p>
        </w:tc>
        <w:tc>
          <w:tcPr>
            <w:tcW w:w="332" w:type="pct"/>
            <w:vMerge w:val="continue"/>
            <w:vAlign w:val="center"/>
          </w:tcPr>
          <w:p w14:paraId="46C2C10E">
            <w:pPr>
              <w:widowControl/>
              <w:jc w:val="center"/>
              <w:rPr>
                <w:kern w:val="0"/>
                <w:sz w:val="18"/>
                <w:szCs w:val="18"/>
              </w:rPr>
            </w:pPr>
          </w:p>
        </w:tc>
        <w:tc>
          <w:tcPr>
            <w:tcW w:w="315" w:type="pct"/>
            <w:vAlign w:val="center"/>
          </w:tcPr>
          <w:p w14:paraId="387511C3">
            <w:pPr>
              <w:widowControl/>
              <w:jc w:val="center"/>
              <w:rPr>
                <w:kern w:val="0"/>
                <w:sz w:val="18"/>
                <w:szCs w:val="18"/>
              </w:rPr>
            </w:pPr>
            <w:r>
              <w:rPr>
                <w:rFonts w:hint="eastAsia"/>
                <w:kern w:val="0"/>
                <w:sz w:val="18"/>
                <w:szCs w:val="18"/>
              </w:rPr>
              <w:t>m</w:t>
            </w:r>
            <w:r>
              <w:rPr>
                <w:rFonts w:hint="eastAsia"/>
                <w:kern w:val="0"/>
                <w:sz w:val="18"/>
                <w:szCs w:val="18"/>
                <w:vertAlign w:val="superscript"/>
              </w:rPr>
              <w:t>3</w:t>
            </w:r>
            <w:r>
              <w:rPr>
                <w:rFonts w:hint="eastAsia"/>
                <w:kern w:val="0"/>
                <w:sz w:val="18"/>
                <w:szCs w:val="18"/>
              </w:rPr>
              <w:t>/h</w:t>
            </w:r>
          </w:p>
        </w:tc>
        <w:tc>
          <w:tcPr>
            <w:tcW w:w="264" w:type="pct"/>
            <w:vAlign w:val="center"/>
          </w:tcPr>
          <w:p w14:paraId="7E37358F">
            <w:pPr>
              <w:widowControl/>
              <w:jc w:val="center"/>
              <w:rPr>
                <w:kern w:val="0"/>
                <w:sz w:val="18"/>
                <w:szCs w:val="18"/>
              </w:rPr>
            </w:pPr>
            <w:r>
              <w:rPr>
                <w:rFonts w:hint="eastAsia"/>
                <w:kern w:val="0"/>
                <w:sz w:val="18"/>
                <w:szCs w:val="18"/>
              </w:rPr>
              <w:t>kg/h</w:t>
            </w:r>
          </w:p>
        </w:tc>
        <w:tc>
          <w:tcPr>
            <w:tcW w:w="339" w:type="pct"/>
            <w:vAlign w:val="center"/>
          </w:tcPr>
          <w:p w14:paraId="270EB958">
            <w:pPr>
              <w:widowControl/>
              <w:jc w:val="center"/>
              <w:rPr>
                <w:kern w:val="0"/>
                <w:sz w:val="18"/>
                <w:szCs w:val="18"/>
              </w:rPr>
            </w:pPr>
            <w:r>
              <w:rPr>
                <w:rFonts w:hint="eastAsia"/>
                <w:kern w:val="0"/>
                <w:sz w:val="18"/>
                <w:szCs w:val="18"/>
              </w:rPr>
              <w:t>mg/m</w:t>
            </w:r>
            <w:r>
              <w:rPr>
                <w:rFonts w:hint="eastAsia"/>
                <w:kern w:val="0"/>
                <w:sz w:val="18"/>
                <w:szCs w:val="18"/>
                <w:vertAlign w:val="superscript"/>
              </w:rPr>
              <w:t>3</w:t>
            </w:r>
          </w:p>
        </w:tc>
        <w:tc>
          <w:tcPr>
            <w:tcW w:w="302" w:type="pct"/>
            <w:vAlign w:val="center"/>
          </w:tcPr>
          <w:p w14:paraId="7AE92B53">
            <w:pPr>
              <w:widowControl/>
              <w:jc w:val="center"/>
              <w:rPr>
                <w:kern w:val="0"/>
                <w:sz w:val="18"/>
                <w:szCs w:val="18"/>
              </w:rPr>
            </w:pPr>
            <w:r>
              <w:rPr>
                <w:rFonts w:hint="eastAsia"/>
                <w:kern w:val="0"/>
                <w:sz w:val="18"/>
                <w:szCs w:val="18"/>
              </w:rPr>
              <w:t>t/a</w:t>
            </w:r>
          </w:p>
        </w:tc>
        <w:tc>
          <w:tcPr>
            <w:tcW w:w="273" w:type="pct"/>
            <w:vMerge w:val="continue"/>
            <w:vAlign w:val="center"/>
          </w:tcPr>
          <w:p w14:paraId="5E2FFE7F">
            <w:pPr>
              <w:widowControl/>
              <w:jc w:val="center"/>
              <w:rPr>
                <w:kern w:val="0"/>
                <w:sz w:val="18"/>
                <w:szCs w:val="18"/>
              </w:rPr>
            </w:pPr>
          </w:p>
        </w:tc>
        <w:tc>
          <w:tcPr>
            <w:tcW w:w="252" w:type="pct"/>
            <w:vMerge w:val="continue"/>
            <w:vAlign w:val="center"/>
          </w:tcPr>
          <w:p w14:paraId="724324FA">
            <w:pPr>
              <w:widowControl/>
              <w:jc w:val="center"/>
              <w:rPr>
                <w:kern w:val="0"/>
                <w:sz w:val="18"/>
                <w:szCs w:val="18"/>
              </w:rPr>
            </w:pPr>
          </w:p>
        </w:tc>
        <w:tc>
          <w:tcPr>
            <w:tcW w:w="330" w:type="pct"/>
            <w:vMerge w:val="continue"/>
            <w:vAlign w:val="center"/>
          </w:tcPr>
          <w:p w14:paraId="14EE78AB">
            <w:pPr>
              <w:widowControl/>
              <w:jc w:val="center"/>
              <w:rPr>
                <w:kern w:val="0"/>
                <w:sz w:val="18"/>
                <w:szCs w:val="18"/>
              </w:rPr>
            </w:pPr>
          </w:p>
        </w:tc>
        <w:tc>
          <w:tcPr>
            <w:tcW w:w="248" w:type="pct"/>
            <w:vAlign w:val="center"/>
          </w:tcPr>
          <w:p w14:paraId="1B97F6B0">
            <w:pPr>
              <w:widowControl/>
              <w:jc w:val="center"/>
              <w:rPr>
                <w:kern w:val="0"/>
                <w:sz w:val="18"/>
                <w:szCs w:val="18"/>
              </w:rPr>
            </w:pPr>
            <w:r>
              <w:rPr>
                <w:rFonts w:hint="eastAsia"/>
                <w:kern w:val="0"/>
                <w:sz w:val="18"/>
                <w:szCs w:val="18"/>
              </w:rPr>
              <w:t>m</w:t>
            </w:r>
            <w:r>
              <w:rPr>
                <w:rFonts w:hint="eastAsia"/>
                <w:kern w:val="0"/>
                <w:sz w:val="18"/>
                <w:szCs w:val="18"/>
                <w:vertAlign w:val="superscript"/>
              </w:rPr>
              <w:t>3</w:t>
            </w:r>
            <w:r>
              <w:rPr>
                <w:rFonts w:hint="eastAsia"/>
                <w:kern w:val="0"/>
                <w:sz w:val="18"/>
                <w:szCs w:val="18"/>
              </w:rPr>
              <w:t>/h</w:t>
            </w:r>
          </w:p>
        </w:tc>
        <w:tc>
          <w:tcPr>
            <w:tcW w:w="239" w:type="pct"/>
            <w:vAlign w:val="center"/>
          </w:tcPr>
          <w:p w14:paraId="2FDF8B1D">
            <w:pPr>
              <w:widowControl/>
              <w:jc w:val="center"/>
              <w:rPr>
                <w:kern w:val="0"/>
                <w:sz w:val="18"/>
                <w:szCs w:val="18"/>
              </w:rPr>
            </w:pPr>
            <w:r>
              <w:rPr>
                <w:rFonts w:hint="eastAsia"/>
                <w:kern w:val="0"/>
                <w:sz w:val="18"/>
                <w:szCs w:val="18"/>
              </w:rPr>
              <w:t>kg/h</w:t>
            </w:r>
          </w:p>
        </w:tc>
        <w:tc>
          <w:tcPr>
            <w:tcW w:w="281" w:type="pct"/>
            <w:vAlign w:val="center"/>
          </w:tcPr>
          <w:p w14:paraId="2DE8B4D3">
            <w:pPr>
              <w:widowControl/>
              <w:jc w:val="center"/>
              <w:rPr>
                <w:kern w:val="0"/>
                <w:sz w:val="18"/>
                <w:szCs w:val="18"/>
              </w:rPr>
            </w:pPr>
            <w:r>
              <w:rPr>
                <w:rFonts w:hint="eastAsia"/>
                <w:kern w:val="0"/>
                <w:sz w:val="18"/>
                <w:szCs w:val="18"/>
              </w:rPr>
              <w:t>mg/m</w:t>
            </w:r>
            <w:r>
              <w:rPr>
                <w:rFonts w:hint="eastAsia"/>
                <w:kern w:val="0"/>
                <w:sz w:val="18"/>
                <w:szCs w:val="18"/>
                <w:vertAlign w:val="superscript"/>
              </w:rPr>
              <w:t>3</w:t>
            </w:r>
          </w:p>
        </w:tc>
        <w:tc>
          <w:tcPr>
            <w:tcW w:w="296" w:type="pct"/>
            <w:vAlign w:val="center"/>
          </w:tcPr>
          <w:p w14:paraId="536DBB99">
            <w:pPr>
              <w:widowControl/>
              <w:jc w:val="center"/>
              <w:rPr>
                <w:kern w:val="0"/>
                <w:sz w:val="18"/>
                <w:szCs w:val="18"/>
              </w:rPr>
            </w:pPr>
            <w:r>
              <w:rPr>
                <w:rFonts w:hint="eastAsia"/>
                <w:kern w:val="0"/>
                <w:sz w:val="18"/>
                <w:szCs w:val="18"/>
              </w:rPr>
              <w:t>t/a</w:t>
            </w:r>
          </w:p>
        </w:tc>
        <w:tc>
          <w:tcPr>
            <w:tcW w:w="209" w:type="pct"/>
            <w:vAlign w:val="center"/>
          </w:tcPr>
          <w:p w14:paraId="33C2B838">
            <w:pPr>
              <w:widowControl/>
              <w:jc w:val="center"/>
              <w:rPr>
                <w:kern w:val="0"/>
                <w:sz w:val="18"/>
                <w:szCs w:val="18"/>
              </w:rPr>
            </w:pPr>
            <w:r>
              <w:rPr>
                <w:rFonts w:hint="eastAsia"/>
                <w:kern w:val="0"/>
                <w:sz w:val="18"/>
                <w:szCs w:val="18"/>
              </w:rPr>
              <w:t>h</w:t>
            </w:r>
          </w:p>
        </w:tc>
      </w:tr>
      <w:tr w14:paraId="0A3B9E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restart"/>
            <w:vAlign w:val="center"/>
          </w:tcPr>
          <w:p w14:paraId="4791710C">
            <w:pPr>
              <w:widowControl/>
              <w:jc w:val="center"/>
              <w:rPr>
                <w:kern w:val="0"/>
                <w:sz w:val="18"/>
                <w:szCs w:val="18"/>
              </w:rPr>
            </w:pPr>
            <w:r>
              <w:rPr>
                <w:rFonts w:hint="eastAsia"/>
                <w:kern w:val="0"/>
                <w:sz w:val="18"/>
                <w:szCs w:val="18"/>
              </w:rPr>
              <w:t>油漆废气</w:t>
            </w:r>
          </w:p>
        </w:tc>
        <w:tc>
          <w:tcPr>
            <w:tcW w:w="328" w:type="pct"/>
            <w:vMerge w:val="restart"/>
            <w:vAlign w:val="center"/>
          </w:tcPr>
          <w:p w14:paraId="31AAB094">
            <w:pPr>
              <w:widowControl/>
              <w:jc w:val="center"/>
              <w:rPr>
                <w:kern w:val="0"/>
                <w:sz w:val="18"/>
                <w:szCs w:val="18"/>
              </w:rPr>
            </w:pPr>
            <w:r>
              <w:rPr>
                <w:rFonts w:hint="eastAsia"/>
                <w:kern w:val="0"/>
                <w:sz w:val="18"/>
                <w:szCs w:val="18"/>
              </w:rPr>
              <w:t>喷漆房/晾干房</w:t>
            </w:r>
          </w:p>
        </w:tc>
        <w:tc>
          <w:tcPr>
            <w:tcW w:w="332" w:type="pct"/>
            <w:vMerge w:val="restart"/>
            <w:vAlign w:val="center"/>
          </w:tcPr>
          <w:p w14:paraId="7C44E1B9">
            <w:pPr>
              <w:widowControl/>
              <w:jc w:val="center"/>
              <w:rPr>
                <w:kern w:val="0"/>
                <w:sz w:val="18"/>
                <w:szCs w:val="18"/>
              </w:rPr>
            </w:pPr>
            <w:r>
              <w:rPr>
                <w:rFonts w:hint="eastAsia"/>
                <w:kern w:val="0"/>
                <w:sz w:val="18"/>
                <w:szCs w:val="18"/>
              </w:rPr>
              <w:t>DA001</w:t>
            </w:r>
          </w:p>
        </w:tc>
        <w:tc>
          <w:tcPr>
            <w:tcW w:w="332" w:type="pct"/>
            <w:vAlign w:val="center"/>
          </w:tcPr>
          <w:p w14:paraId="79946CBE">
            <w:pPr>
              <w:widowControl/>
              <w:jc w:val="center"/>
              <w:rPr>
                <w:kern w:val="0"/>
                <w:sz w:val="18"/>
                <w:szCs w:val="18"/>
              </w:rPr>
            </w:pPr>
            <w:r>
              <w:rPr>
                <w:rFonts w:hint="eastAsia"/>
                <w:kern w:val="0"/>
                <w:sz w:val="18"/>
                <w:szCs w:val="18"/>
              </w:rPr>
              <w:t>TVOC</w:t>
            </w:r>
          </w:p>
        </w:tc>
        <w:tc>
          <w:tcPr>
            <w:tcW w:w="332" w:type="pct"/>
            <w:vAlign w:val="center"/>
          </w:tcPr>
          <w:p w14:paraId="4E1C9CA6">
            <w:pPr>
              <w:widowControl/>
              <w:jc w:val="center"/>
              <w:rPr>
                <w:kern w:val="0"/>
                <w:sz w:val="18"/>
                <w:szCs w:val="18"/>
              </w:rPr>
            </w:pPr>
            <w:r>
              <w:rPr>
                <w:rFonts w:hint="eastAsia"/>
                <w:kern w:val="0"/>
                <w:sz w:val="18"/>
                <w:szCs w:val="18"/>
              </w:rPr>
              <w:t>物料衡算法</w:t>
            </w:r>
          </w:p>
        </w:tc>
        <w:tc>
          <w:tcPr>
            <w:tcW w:w="315" w:type="pct"/>
            <w:vMerge w:val="restart"/>
            <w:vAlign w:val="center"/>
          </w:tcPr>
          <w:p w14:paraId="3AB26E3D">
            <w:pPr>
              <w:widowControl/>
              <w:jc w:val="center"/>
              <w:rPr>
                <w:kern w:val="0"/>
                <w:sz w:val="18"/>
                <w:szCs w:val="18"/>
              </w:rPr>
            </w:pPr>
            <w:r>
              <w:rPr>
                <w:rFonts w:hint="eastAsia"/>
                <w:kern w:val="0"/>
                <w:sz w:val="18"/>
                <w:szCs w:val="18"/>
              </w:rPr>
              <w:t>15000</w:t>
            </w:r>
          </w:p>
        </w:tc>
        <w:tc>
          <w:tcPr>
            <w:tcW w:w="264" w:type="pct"/>
            <w:vAlign w:val="center"/>
          </w:tcPr>
          <w:p w14:paraId="6A3BDD25">
            <w:pPr>
              <w:widowControl/>
              <w:jc w:val="center"/>
              <w:rPr>
                <w:kern w:val="0"/>
                <w:sz w:val="18"/>
                <w:szCs w:val="18"/>
              </w:rPr>
            </w:pPr>
            <w:r>
              <w:rPr>
                <w:rFonts w:hint="eastAsia"/>
                <w:kern w:val="0"/>
                <w:sz w:val="18"/>
                <w:szCs w:val="18"/>
              </w:rPr>
              <w:t>1.372</w:t>
            </w:r>
          </w:p>
        </w:tc>
        <w:tc>
          <w:tcPr>
            <w:tcW w:w="339" w:type="pct"/>
            <w:vAlign w:val="center"/>
          </w:tcPr>
          <w:p w14:paraId="159FBD1F">
            <w:pPr>
              <w:widowControl/>
              <w:jc w:val="center"/>
              <w:rPr>
                <w:kern w:val="0"/>
                <w:sz w:val="18"/>
                <w:szCs w:val="18"/>
              </w:rPr>
            </w:pPr>
            <w:r>
              <w:rPr>
                <w:rFonts w:hint="eastAsia"/>
                <w:kern w:val="0"/>
                <w:sz w:val="18"/>
                <w:szCs w:val="18"/>
              </w:rPr>
              <w:t>91.47</w:t>
            </w:r>
          </w:p>
        </w:tc>
        <w:tc>
          <w:tcPr>
            <w:tcW w:w="302" w:type="pct"/>
            <w:vAlign w:val="center"/>
          </w:tcPr>
          <w:p w14:paraId="2C26F839">
            <w:pPr>
              <w:widowControl/>
              <w:jc w:val="center"/>
              <w:rPr>
                <w:kern w:val="0"/>
                <w:sz w:val="18"/>
                <w:szCs w:val="18"/>
              </w:rPr>
            </w:pPr>
            <w:r>
              <w:rPr>
                <w:rFonts w:hint="eastAsia"/>
                <w:kern w:val="0"/>
                <w:sz w:val="18"/>
                <w:szCs w:val="18"/>
              </w:rPr>
              <w:t>1.646</w:t>
            </w:r>
          </w:p>
        </w:tc>
        <w:tc>
          <w:tcPr>
            <w:tcW w:w="273" w:type="pct"/>
            <w:vMerge w:val="restart"/>
            <w:vAlign w:val="center"/>
          </w:tcPr>
          <w:p w14:paraId="6E0D71C1">
            <w:pPr>
              <w:widowControl/>
              <w:jc w:val="center"/>
              <w:rPr>
                <w:kern w:val="0"/>
                <w:sz w:val="18"/>
                <w:szCs w:val="18"/>
              </w:rPr>
            </w:pPr>
            <w:r>
              <w:rPr>
                <w:rFonts w:hint="eastAsia"/>
                <w:kern w:val="0"/>
                <w:sz w:val="18"/>
                <w:szCs w:val="18"/>
              </w:rPr>
              <w:t>活性炭</w:t>
            </w:r>
          </w:p>
        </w:tc>
        <w:tc>
          <w:tcPr>
            <w:tcW w:w="252" w:type="pct"/>
            <w:vMerge w:val="restart"/>
            <w:vAlign w:val="center"/>
          </w:tcPr>
          <w:p w14:paraId="14D1EB28">
            <w:pPr>
              <w:widowControl/>
              <w:jc w:val="center"/>
              <w:rPr>
                <w:kern w:val="0"/>
                <w:sz w:val="18"/>
                <w:szCs w:val="18"/>
              </w:rPr>
            </w:pPr>
            <w:r>
              <w:rPr>
                <w:rFonts w:hint="eastAsia"/>
                <w:kern w:val="0"/>
                <w:sz w:val="18"/>
                <w:szCs w:val="18"/>
              </w:rPr>
              <w:t>85%</w:t>
            </w:r>
          </w:p>
        </w:tc>
        <w:tc>
          <w:tcPr>
            <w:tcW w:w="330" w:type="pct"/>
            <w:vAlign w:val="center"/>
          </w:tcPr>
          <w:p w14:paraId="543722B0">
            <w:pPr>
              <w:widowControl/>
              <w:jc w:val="center"/>
              <w:rPr>
                <w:kern w:val="0"/>
                <w:sz w:val="18"/>
                <w:szCs w:val="18"/>
              </w:rPr>
            </w:pPr>
            <w:r>
              <w:rPr>
                <w:rFonts w:hint="eastAsia"/>
                <w:kern w:val="0"/>
                <w:sz w:val="18"/>
                <w:szCs w:val="18"/>
              </w:rPr>
              <w:t>物料衡算法</w:t>
            </w:r>
          </w:p>
        </w:tc>
        <w:tc>
          <w:tcPr>
            <w:tcW w:w="248" w:type="pct"/>
            <w:vMerge w:val="restart"/>
            <w:vAlign w:val="center"/>
          </w:tcPr>
          <w:p w14:paraId="623AACE0">
            <w:pPr>
              <w:widowControl/>
              <w:jc w:val="center"/>
              <w:rPr>
                <w:kern w:val="0"/>
                <w:sz w:val="18"/>
                <w:szCs w:val="18"/>
              </w:rPr>
            </w:pPr>
            <w:r>
              <w:rPr>
                <w:rFonts w:hint="eastAsia"/>
                <w:kern w:val="0"/>
                <w:sz w:val="18"/>
                <w:szCs w:val="18"/>
              </w:rPr>
              <w:t>15000</w:t>
            </w:r>
          </w:p>
        </w:tc>
        <w:tc>
          <w:tcPr>
            <w:tcW w:w="239" w:type="pct"/>
            <w:vAlign w:val="center"/>
          </w:tcPr>
          <w:p w14:paraId="0006FFA5">
            <w:pPr>
              <w:widowControl/>
              <w:jc w:val="center"/>
              <w:rPr>
                <w:kern w:val="0"/>
                <w:sz w:val="18"/>
                <w:szCs w:val="18"/>
              </w:rPr>
            </w:pPr>
            <w:r>
              <w:rPr>
                <w:rFonts w:hint="eastAsia"/>
                <w:kern w:val="0"/>
                <w:sz w:val="18"/>
                <w:szCs w:val="18"/>
              </w:rPr>
              <w:t>0.206</w:t>
            </w:r>
          </w:p>
        </w:tc>
        <w:tc>
          <w:tcPr>
            <w:tcW w:w="281" w:type="pct"/>
            <w:vAlign w:val="center"/>
          </w:tcPr>
          <w:p w14:paraId="278A107E">
            <w:pPr>
              <w:widowControl/>
              <w:jc w:val="center"/>
              <w:rPr>
                <w:kern w:val="0"/>
                <w:sz w:val="18"/>
                <w:szCs w:val="18"/>
              </w:rPr>
            </w:pPr>
            <w:r>
              <w:rPr>
                <w:rFonts w:hint="eastAsia"/>
                <w:kern w:val="0"/>
                <w:sz w:val="18"/>
                <w:szCs w:val="18"/>
              </w:rPr>
              <w:t>13.73</w:t>
            </w:r>
          </w:p>
        </w:tc>
        <w:tc>
          <w:tcPr>
            <w:tcW w:w="296" w:type="pct"/>
            <w:shd w:val="clear" w:color="auto" w:fill="auto"/>
            <w:vAlign w:val="center"/>
          </w:tcPr>
          <w:p w14:paraId="76A78A69">
            <w:pPr>
              <w:adjustRightInd w:val="0"/>
              <w:snapToGrid w:val="0"/>
              <w:jc w:val="center"/>
              <w:rPr>
                <w:kern w:val="0"/>
                <w:sz w:val="18"/>
                <w:szCs w:val="18"/>
              </w:rPr>
            </w:pPr>
            <w:r>
              <w:rPr>
                <w:rFonts w:hint="eastAsia"/>
                <w:sz w:val="18"/>
                <w:szCs w:val="18"/>
              </w:rPr>
              <w:t>0.247</w:t>
            </w:r>
          </w:p>
        </w:tc>
        <w:tc>
          <w:tcPr>
            <w:tcW w:w="209" w:type="pct"/>
            <w:vAlign w:val="center"/>
          </w:tcPr>
          <w:p w14:paraId="1475E76B">
            <w:pPr>
              <w:widowControl/>
              <w:jc w:val="center"/>
              <w:rPr>
                <w:kern w:val="0"/>
                <w:sz w:val="18"/>
                <w:szCs w:val="18"/>
              </w:rPr>
            </w:pPr>
            <w:bookmarkStart w:id="29" w:name="OLE_LINK13"/>
            <w:r>
              <w:rPr>
                <w:rFonts w:hint="eastAsia"/>
                <w:kern w:val="0"/>
                <w:sz w:val="18"/>
                <w:szCs w:val="18"/>
              </w:rPr>
              <w:t>1200</w:t>
            </w:r>
            <w:bookmarkEnd w:id="29"/>
          </w:p>
        </w:tc>
      </w:tr>
      <w:tr w14:paraId="7D7480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491034D">
            <w:pPr>
              <w:widowControl/>
              <w:jc w:val="center"/>
              <w:rPr>
                <w:rFonts w:hint="eastAsia"/>
                <w:kern w:val="0"/>
                <w:sz w:val="18"/>
                <w:szCs w:val="18"/>
              </w:rPr>
            </w:pPr>
          </w:p>
        </w:tc>
        <w:tc>
          <w:tcPr>
            <w:tcW w:w="328" w:type="pct"/>
            <w:vMerge w:val="continue"/>
            <w:vAlign w:val="center"/>
          </w:tcPr>
          <w:p w14:paraId="7E231EA0">
            <w:pPr>
              <w:widowControl/>
              <w:jc w:val="center"/>
              <w:rPr>
                <w:rFonts w:hint="eastAsia"/>
                <w:kern w:val="0"/>
                <w:sz w:val="18"/>
                <w:szCs w:val="18"/>
              </w:rPr>
            </w:pPr>
          </w:p>
        </w:tc>
        <w:tc>
          <w:tcPr>
            <w:tcW w:w="332" w:type="pct"/>
            <w:vMerge w:val="continue"/>
            <w:vAlign w:val="center"/>
          </w:tcPr>
          <w:p w14:paraId="3F3D8BBE">
            <w:pPr>
              <w:widowControl/>
              <w:jc w:val="center"/>
              <w:rPr>
                <w:rFonts w:hint="eastAsia"/>
                <w:kern w:val="0"/>
                <w:sz w:val="18"/>
                <w:szCs w:val="18"/>
              </w:rPr>
            </w:pPr>
          </w:p>
        </w:tc>
        <w:tc>
          <w:tcPr>
            <w:tcW w:w="332" w:type="pct"/>
            <w:vAlign w:val="center"/>
          </w:tcPr>
          <w:p w14:paraId="34976850">
            <w:pPr>
              <w:widowControl/>
              <w:jc w:val="center"/>
              <w:rPr>
                <w:rFonts w:hint="eastAsia" w:eastAsia="宋体"/>
                <w:kern w:val="0"/>
                <w:sz w:val="18"/>
                <w:szCs w:val="18"/>
                <w:lang w:val="en-US" w:eastAsia="zh-CN"/>
              </w:rPr>
            </w:pPr>
            <w:r>
              <w:rPr>
                <w:rFonts w:hint="eastAsia"/>
                <w:kern w:val="0"/>
                <w:sz w:val="18"/>
                <w:szCs w:val="18"/>
                <w:lang w:val="en-US" w:eastAsia="zh-CN"/>
              </w:rPr>
              <w:t>臭气浓度</w:t>
            </w:r>
          </w:p>
        </w:tc>
        <w:tc>
          <w:tcPr>
            <w:tcW w:w="332" w:type="pct"/>
            <w:vAlign w:val="center"/>
          </w:tcPr>
          <w:p w14:paraId="2628B5C5">
            <w:pPr>
              <w:widowControl/>
              <w:jc w:val="center"/>
              <w:rPr>
                <w:rFonts w:hint="eastAsia" w:eastAsia="宋体"/>
                <w:kern w:val="0"/>
                <w:sz w:val="18"/>
                <w:szCs w:val="18"/>
                <w:lang w:val="en-US" w:eastAsia="zh-CN"/>
              </w:rPr>
            </w:pPr>
            <w:r>
              <w:rPr>
                <w:rFonts w:hint="eastAsia"/>
                <w:kern w:val="0"/>
                <w:sz w:val="18"/>
                <w:szCs w:val="18"/>
                <w:lang w:val="en-US" w:eastAsia="zh-CN"/>
              </w:rPr>
              <w:t>定性分析</w:t>
            </w:r>
          </w:p>
        </w:tc>
        <w:tc>
          <w:tcPr>
            <w:tcW w:w="315" w:type="pct"/>
            <w:vMerge w:val="continue"/>
            <w:vAlign w:val="center"/>
          </w:tcPr>
          <w:p w14:paraId="3932A40A">
            <w:pPr>
              <w:widowControl/>
              <w:jc w:val="center"/>
              <w:rPr>
                <w:rFonts w:hint="default" w:eastAsia="宋体"/>
                <w:kern w:val="0"/>
                <w:sz w:val="18"/>
                <w:szCs w:val="18"/>
                <w:lang w:val="en-US" w:eastAsia="zh-CN"/>
              </w:rPr>
            </w:pPr>
          </w:p>
        </w:tc>
        <w:tc>
          <w:tcPr>
            <w:tcW w:w="264" w:type="pct"/>
            <w:vAlign w:val="center"/>
          </w:tcPr>
          <w:p w14:paraId="6DFF91F2">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339" w:type="pct"/>
            <w:vAlign w:val="center"/>
          </w:tcPr>
          <w:p w14:paraId="1188597B">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302" w:type="pct"/>
            <w:vAlign w:val="center"/>
          </w:tcPr>
          <w:p w14:paraId="6B9D1224">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73" w:type="pct"/>
            <w:vMerge w:val="continue"/>
            <w:vAlign w:val="center"/>
          </w:tcPr>
          <w:p w14:paraId="03E4CF1D">
            <w:pPr>
              <w:widowControl/>
              <w:jc w:val="center"/>
              <w:rPr>
                <w:rFonts w:hint="eastAsia"/>
                <w:kern w:val="0"/>
                <w:sz w:val="18"/>
                <w:szCs w:val="18"/>
              </w:rPr>
            </w:pPr>
          </w:p>
        </w:tc>
        <w:tc>
          <w:tcPr>
            <w:tcW w:w="252" w:type="pct"/>
            <w:vMerge w:val="continue"/>
            <w:vAlign w:val="center"/>
          </w:tcPr>
          <w:p w14:paraId="2B39C0D0">
            <w:pPr>
              <w:widowControl/>
              <w:jc w:val="center"/>
              <w:rPr>
                <w:rFonts w:hint="eastAsia"/>
                <w:kern w:val="0"/>
                <w:sz w:val="18"/>
                <w:szCs w:val="18"/>
              </w:rPr>
            </w:pPr>
          </w:p>
        </w:tc>
        <w:tc>
          <w:tcPr>
            <w:tcW w:w="330" w:type="pct"/>
            <w:vAlign w:val="center"/>
          </w:tcPr>
          <w:p w14:paraId="45D4FFE8">
            <w:pPr>
              <w:widowControl/>
              <w:jc w:val="center"/>
              <w:rPr>
                <w:rFonts w:hint="eastAsia" w:eastAsia="宋体"/>
                <w:kern w:val="0"/>
                <w:sz w:val="18"/>
                <w:szCs w:val="18"/>
                <w:lang w:val="en-US" w:eastAsia="zh-CN"/>
              </w:rPr>
            </w:pPr>
            <w:r>
              <w:rPr>
                <w:rFonts w:hint="eastAsia"/>
                <w:kern w:val="0"/>
                <w:sz w:val="18"/>
                <w:szCs w:val="18"/>
                <w:lang w:val="en-US" w:eastAsia="zh-CN"/>
              </w:rPr>
              <w:t>定性分析</w:t>
            </w:r>
          </w:p>
        </w:tc>
        <w:tc>
          <w:tcPr>
            <w:tcW w:w="248" w:type="pct"/>
            <w:vMerge w:val="continue"/>
            <w:vAlign w:val="center"/>
          </w:tcPr>
          <w:p w14:paraId="502C892A">
            <w:pPr>
              <w:widowControl/>
              <w:jc w:val="center"/>
              <w:rPr>
                <w:rFonts w:hint="eastAsia"/>
                <w:kern w:val="0"/>
                <w:sz w:val="18"/>
                <w:szCs w:val="18"/>
              </w:rPr>
            </w:pPr>
          </w:p>
        </w:tc>
        <w:tc>
          <w:tcPr>
            <w:tcW w:w="239" w:type="pct"/>
            <w:vAlign w:val="center"/>
          </w:tcPr>
          <w:p w14:paraId="481B170E">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81" w:type="pct"/>
            <w:vAlign w:val="center"/>
          </w:tcPr>
          <w:p w14:paraId="6A700B19">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96" w:type="pct"/>
            <w:shd w:val="clear" w:color="auto" w:fill="auto"/>
            <w:vAlign w:val="center"/>
          </w:tcPr>
          <w:p w14:paraId="35EE6897">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209" w:type="pct"/>
            <w:vAlign w:val="center"/>
          </w:tcPr>
          <w:p w14:paraId="384651BC">
            <w:pPr>
              <w:widowControl/>
              <w:jc w:val="center"/>
              <w:rPr>
                <w:rFonts w:hint="default" w:eastAsia="宋体"/>
                <w:kern w:val="0"/>
                <w:sz w:val="18"/>
                <w:szCs w:val="18"/>
                <w:lang w:val="en-US" w:eastAsia="zh-CN"/>
              </w:rPr>
            </w:pPr>
            <w:r>
              <w:rPr>
                <w:rFonts w:hint="eastAsia"/>
                <w:kern w:val="0"/>
                <w:sz w:val="18"/>
                <w:szCs w:val="18"/>
                <w:lang w:val="en-US" w:eastAsia="zh-CN"/>
              </w:rPr>
              <w:t>1200</w:t>
            </w:r>
          </w:p>
        </w:tc>
      </w:tr>
      <w:tr w14:paraId="121326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589C0D26">
            <w:pPr>
              <w:widowControl/>
              <w:jc w:val="center"/>
              <w:rPr>
                <w:kern w:val="0"/>
                <w:sz w:val="18"/>
                <w:szCs w:val="18"/>
              </w:rPr>
            </w:pPr>
          </w:p>
        </w:tc>
        <w:tc>
          <w:tcPr>
            <w:tcW w:w="328" w:type="pct"/>
            <w:vMerge w:val="continue"/>
            <w:vAlign w:val="center"/>
          </w:tcPr>
          <w:p w14:paraId="509D03DF">
            <w:pPr>
              <w:widowControl/>
              <w:jc w:val="center"/>
              <w:rPr>
                <w:kern w:val="0"/>
                <w:sz w:val="18"/>
                <w:szCs w:val="18"/>
              </w:rPr>
            </w:pPr>
          </w:p>
        </w:tc>
        <w:tc>
          <w:tcPr>
            <w:tcW w:w="332" w:type="pct"/>
            <w:vMerge w:val="restart"/>
            <w:vAlign w:val="center"/>
          </w:tcPr>
          <w:p w14:paraId="32AA7002">
            <w:pPr>
              <w:widowControl/>
              <w:jc w:val="center"/>
              <w:rPr>
                <w:kern w:val="0"/>
                <w:sz w:val="18"/>
                <w:szCs w:val="18"/>
              </w:rPr>
            </w:pPr>
            <w:r>
              <w:rPr>
                <w:rFonts w:hint="eastAsia"/>
                <w:kern w:val="0"/>
                <w:sz w:val="18"/>
                <w:szCs w:val="18"/>
              </w:rPr>
              <w:t>无组织</w:t>
            </w:r>
          </w:p>
        </w:tc>
        <w:tc>
          <w:tcPr>
            <w:tcW w:w="332" w:type="pct"/>
            <w:vAlign w:val="center"/>
          </w:tcPr>
          <w:p w14:paraId="4F97C914">
            <w:pPr>
              <w:widowControl/>
              <w:jc w:val="center"/>
              <w:rPr>
                <w:kern w:val="0"/>
                <w:sz w:val="18"/>
                <w:szCs w:val="18"/>
              </w:rPr>
            </w:pPr>
            <w:r>
              <w:rPr>
                <w:rFonts w:hint="eastAsia"/>
                <w:kern w:val="0"/>
                <w:sz w:val="18"/>
                <w:szCs w:val="18"/>
              </w:rPr>
              <w:t>NMHC</w:t>
            </w:r>
          </w:p>
        </w:tc>
        <w:tc>
          <w:tcPr>
            <w:tcW w:w="332" w:type="pct"/>
            <w:vAlign w:val="center"/>
          </w:tcPr>
          <w:p w14:paraId="0D09E1A1">
            <w:pPr>
              <w:widowControl/>
              <w:jc w:val="center"/>
              <w:rPr>
                <w:kern w:val="0"/>
                <w:sz w:val="18"/>
                <w:szCs w:val="18"/>
              </w:rPr>
            </w:pPr>
            <w:r>
              <w:rPr>
                <w:rFonts w:hint="eastAsia"/>
                <w:kern w:val="0"/>
                <w:sz w:val="18"/>
                <w:szCs w:val="18"/>
              </w:rPr>
              <w:t>物料衡算法</w:t>
            </w:r>
          </w:p>
        </w:tc>
        <w:tc>
          <w:tcPr>
            <w:tcW w:w="315" w:type="pct"/>
            <w:vAlign w:val="center"/>
          </w:tcPr>
          <w:p w14:paraId="4F219D67">
            <w:pPr>
              <w:widowControl/>
              <w:jc w:val="center"/>
              <w:rPr>
                <w:kern w:val="0"/>
                <w:sz w:val="18"/>
                <w:szCs w:val="18"/>
              </w:rPr>
            </w:pPr>
            <w:r>
              <w:rPr>
                <w:rFonts w:hint="eastAsia"/>
                <w:kern w:val="0"/>
                <w:sz w:val="18"/>
                <w:szCs w:val="18"/>
              </w:rPr>
              <w:t>/</w:t>
            </w:r>
          </w:p>
        </w:tc>
        <w:tc>
          <w:tcPr>
            <w:tcW w:w="264" w:type="pct"/>
            <w:vAlign w:val="center"/>
          </w:tcPr>
          <w:p w14:paraId="57A04FEF">
            <w:pPr>
              <w:widowControl/>
              <w:jc w:val="center"/>
              <w:rPr>
                <w:kern w:val="0"/>
                <w:sz w:val="18"/>
                <w:szCs w:val="18"/>
              </w:rPr>
            </w:pPr>
            <w:r>
              <w:rPr>
                <w:rFonts w:hint="eastAsia"/>
                <w:kern w:val="0"/>
                <w:sz w:val="18"/>
                <w:szCs w:val="18"/>
              </w:rPr>
              <w:t>0.073</w:t>
            </w:r>
          </w:p>
        </w:tc>
        <w:tc>
          <w:tcPr>
            <w:tcW w:w="339" w:type="pct"/>
            <w:vAlign w:val="center"/>
          </w:tcPr>
          <w:p w14:paraId="3C2763A8">
            <w:pPr>
              <w:widowControl/>
              <w:jc w:val="center"/>
              <w:rPr>
                <w:kern w:val="0"/>
                <w:sz w:val="18"/>
                <w:szCs w:val="18"/>
              </w:rPr>
            </w:pPr>
            <w:r>
              <w:rPr>
                <w:rFonts w:hint="eastAsia"/>
                <w:kern w:val="0"/>
                <w:sz w:val="18"/>
                <w:szCs w:val="18"/>
              </w:rPr>
              <w:t>/</w:t>
            </w:r>
          </w:p>
        </w:tc>
        <w:tc>
          <w:tcPr>
            <w:tcW w:w="302" w:type="pct"/>
            <w:vAlign w:val="center"/>
          </w:tcPr>
          <w:p w14:paraId="4E270A15">
            <w:pPr>
              <w:widowControl/>
              <w:jc w:val="center"/>
              <w:rPr>
                <w:kern w:val="0"/>
                <w:sz w:val="18"/>
                <w:szCs w:val="18"/>
              </w:rPr>
            </w:pPr>
            <w:r>
              <w:rPr>
                <w:rFonts w:hint="eastAsia"/>
                <w:kern w:val="0"/>
                <w:sz w:val="18"/>
                <w:szCs w:val="18"/>
              </w:rPr>
              <w:t>0.087</w:t>
            </w:r>
          </w:p>
        </w:tc>
        <w:tc>
          <w:tcPr>
            <w:tcW w:w="273" w:type="pct"/>
            <w:vAlign w:val="center"/>
          </w:tcPr>
          <w:p w14:paraId="4ABAB09A">
            <w:pPr>
              <w:widowControl/>
              <w:jc w:val="center"/>
              <w:rPr>
                <w:kern w:val="0"/>
                <w:sz w:val="18"/>
                <w:szCs w:val="18"/>
              </w:rPr>
            </w:pPr>
            <w:r>
              <w:rPr>
                <w:rFonts w:hint="eastAsia"/>
                <w:kern w:val="0"/>
                <w:sz w:val="18"/>
                <w:szCs w:val="18"/>
              </w:rPr>
              <w:t>/</w:t>
            </w:r>
          </w:p>
        </w:tc>
        <w:tc>
          <w:tcPr>
            <w:tcW w:w="252" w:type="pct"/>
            <w:vAlign w:val="center"/>
          </w:tcPr>
          <w:p w14:paraId="7715F024">
            <w:pPr>
              <w:widowControl/>
              <w:jc w:val="center"/>
              <w:rPr>
                <w:kern w:val="0"/>
                <w:sz w:val="18"/>
                <w:szCs w:val="18"/>
              </w:rPr>
            </w:pPr>
            <w:r>
              <w:rPr>
                <w:rFonts w:hint="eastAsia"/>
                <w:kern w:val="0"/>
                <w:sz w:val="18"/>
                <w:szCs w:val="18"/>
              </w:rPr>
              <w:t>/</w:t>
            </w:r>
          </w:p>
        </w:tc>
        <w:tc>
          <w:tcPr>
            <w:tcW w:w="330" w:type="pct"/>
            <w:vAlign w:val="center"/>
          </w:tcPr>
          <w:p w14:paraId="1FAA7A02">
            <w:pPr>
              <w:widowControl/>
              <w:jc w:val="center"/>
              <w:rPr>
                <w:kern w:val="0"/>
                <w:sz w:val="18"/>
                <w:szCs w:val="18"/>
              </w:rPr>
            </w:pPr>
            <w:r>
              <w:rPr>
                <w:rFonts w:hint="eastAsia"/>
                <w:kern w:val="0"/>
                <w:sz w:val="18"/>
                <w:szCs w:val="18"/>
              </w:rPr>
              <w:t>物料衡算法</w:t>
            </w:r>
          </w:p>
        </w:tc>
        <w:tc>
          <w:tcPr>
            <w:tcW w:w="248" w:type="pct"/>
            <w:vAlign w:val="center"/>
          </w:tcPr>
          <w:p w14:paraId="6A176BFA">
            <w:pPr>
              <w:widowControl/>
              <w:jc w:val="center"/>
              <w:rPr>
                <w:kern w:val="0"/>
                <w:sz w:val="18"/>
                <w:szCs w:val="18"/>
              </w:rPr>
            </w:pPr>
            <w:r>
              <w:rPr>
                <w:rFonts w:hint="eastAsia"/>
                <w:kern w:val="0"/>
                <w:sz w:val="18"/>
                <w:szCs w:val="18"/>
              </w:rPr>
              <w:t>/</w:t>
            </w:r>
          </w:p>
        </w:tc>
        <w:tc>
          <w:tcPr>
            <w:tcW w:w="239" w:type="pct"/>
            <w:vAlign w:val="center"/>
          </w:tcPr>
          <w:p w14:paraId="1F963A14">
            <w:pPr>
              <w:widowControl/>
              <w:jc w:val="center"/>
              <w:rPr>
                <w:kern w:val="0"/>
                <w:sz w:val="18"/>
                <w:szCs w:val="18"/>
              </w:rPr>
            </w:pPr>
            <w:r>
              <w:rPr>
                <w:rFonts w:hint="eastAsia"/>
                <w:kern w:val="0"/>
                <w:sz w:val="18"/>
                <w:szCs w:val="18"/>
              </w:rPr>
              <w:t>0.002</w:t>
            </w:r>
          </w:p>
        </w:tc>
        <w:tc>
          <w:tcPr>
            <w:tcW w:w="281" w:type="pct"/>
            <w:vAlign w:val="center"/>
          </w:tcPr>
          <w:p w14:paraId="613EC617">
            <w:pPr>
              <w:widowControl/>
              <w:jc w:val="center"/>
              <w:rPr>
                <w:kern w:val="0"/>
                <w:sz w:val="18"/>
                <w:szCs w:val="18"/>
              </w:rPr>
            </w:pPr>
            <w:r>
              <w:rPr>
                <w:rFonts w:hint="eastAsia"/>
                <w:kern w:val="0"/>
                <w:sz w:val="18"/>
                <w:szCs w:val="18"/>
              </w:rPr>
              <w:t>/</w:t>
            </w:r>
          </w:p>
        </w:tc>
        <w:tc>
          <w:tcPr>
            <w:tcW w:w="296" w:type="pct"/>
            <w:shd w:val="clear" w:color="auto" w:fill="auto"/>
            <w:vAlign w:val="center"/>
          </w:tcPr>
          <w:p w14:paraId="40423C5E">
            <w:pPr>
              <w:adjustRightInd w:val="0"/>
              <w:snapToGrid w:val="0"/>
              <w:jc w:val="center"/>
              <w:rPr>
                <w:kern w:val="0"/>
                <w:sz w:val="18"/>
                <w:szCs w:val="18"/>
              </w:rPr>
            </w:pPr>
            <w:r>
              <w:rPr>
                <w:rFonts w:hint="eastAsia"/>
                <w:sz w:val="18"/>
                <w:szCs w:val="18"/>
              </w:rPr>
              <w:t>0.087</w:t>
            </w:r>
          </w:p>
        </w:tc>
        <w:tc>
          <w:tcPr>
            <w:tcW w:w="209" w:type="pct"/>
            <w:vAlign w:val="center"/>
          </w:tcPr>
          <w:p w14:paraId="4812BE16">
            <w:pPr>
              <w:widowControl/>
              <w:jc w:val="center"/>
              <w:rPr>
                <w:kern w:val="0"/>
                <w:sz w:val="18"/>
                <w:szCs w:val="18"/>
              </w:rPr>
            </w:pPr>
            <w:r>
              <w:rPr>
                <w:rFonts w:hint="eastAsia"/>
                <w:kern w:val="0"/>
                <w:sz w:val="18"/>
                <w:szCs w:val="18"/>
              </w:rPr>
              <w:t>1200</w:t>
            </w:r>
          </w:p>
        </w:tc>
      </w:tr>
      <w:tr w14:paraId="4FAFE9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A0E5A89">
            <w:pPr>
              <w:widowControl/>
              <w:jc w:val="center"/>
              <w:rPr>
                <w:kern w:val="0"/>
                <w:sz w:val="18"/>
                <w:szCs w:val="18"/>
              </w:rPr>
            </w:pPr>
          </w:p>
        </w:tc>
        <w:tc>
          <w:tcPr>
            <w:tcW w:w="328" w:type="pct"/>
            <w:vMerge w:val="continue"/>
            <w:vAlign w:val="center"/>
          </w:tcPr>
          <w:p w14:paraId="116EB86B">
            <w:pPr>
              <w:widowControl/>
              <w:jc w:val="center"/>
              <w:rPr>
                <w:kern w:val="0"/>
                <w:sz w:val="18"/>
                <w:szCs w:val="18"/>
              </w:rPr>
            </w:pPr>
          </w:p>
        </w:tc>
        <w:tc>
          <w:tcPr>
            <w:tcW w:w="332" w:type="pct"/>
            <w:vMerge w:val="continue"/>
            <w:vAlign w:val="center"/>
          </w:tcPr>
          <w:p w14:paraId="4E30EE21">
            <w:pPr>
              <w:widowControl/>
              <w:jc w:val="center"/>
              <w:rPr>
                <w:rFonts w:hint="eastAsia"/>
                <w:kern w:val="0"/>
                <w:sz w:val="18"/>
                <w:szCs w:val="18"/>
              </w:rPr>
            </w:pPr>
          </w:p>
        </w:tc>
        <w:tc>
          <w:tcPr>
            <w:tcW w:w="332" w:type="pct"/>
            <w:vAlign w:val="center"/>
          </w:tcPr>
          <w:p w14:paraId="331BB016">
            <w:pPr>
              <w:widowControl/>
              <w:jc w:val="center"/>
              <w:rPr>
                <w:rFonts w:hint="eastAsia" w:eastAsia="宋体"/>
                <w:kern w:val="0"/>
                <w:sz w:val="18"/>
                <w:szCs w:val="18"/>
                <w:lang w:val="en-US" w:eastAsia="zh-CN"/>
              </w:rPr>
            </w:pPr>
            <w:r>
              <w:rPr>
                <w:rFonts w:hint="eastAsia"/>
                <w:kern w:val="0"/>
                <w:sz w:val="18"/>
                <w:szCs w:val="18"/>
                <w:lang w:val="en-US" w:eastAsia="zh-CN"/>
              </w:rPr>
              <w:t>臭气浓度</w:t>
            </w:r>
          </w:p>
        </w:tc>
        <w:tc>
          <w:tcPr>
            <w:tcW w:w="332" w:type="pct"/>
            <w:vAlign w:val="center"/>
          </w:tcPr>
          <w:p w14:paraId="36CC82DB">
            <w:pPr>
              <w:widowControl/>
              <w:jc w:val="center"/>
              <w:rPr>
                <w:rFonts w:hint="eastAsia" w:eastAsia="宋体"/>
                <w:kern w:val="0"/>
                <w:sz w:val="18"/>
                <w:szCs w:val="18"/>
                <w:lang w:val="en-US" w:eastAsia="zh-CN"/>
              </w:rPr>
            </w:pPr>
            <w:r>
              <w:rPr>
                <w:rFonts w:hint="eastAsia"/>
                <w:kern w:val="0"/>
                <w:sz w:val="18"/>
                <w:szCs w:val="18"/>
                <w:lang w:val="en-US" w:eastAsia="zh-CN"/>
              </w:rPr>
              <w:t>定性分析</w:t>
            </w:r>
          </w:p>
        </w:tc>
        <w:tc>
          <w:tcPr>
            <w:tcW w:w="315" w:type="pct"/>
            <w:vAlign w:val="center"/>
          </w:tcPr>
          <w:p w14:paraId="7557596E">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64" w:type="pct"/>
            <w:vAlign w:val="center"/>
          </w:tcPr>
          <w:p w14:paraId="16216AAB">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339" w:type="pct"/>
            <w:vAlign w:val="center"/>
          </w:tcPr>
          <w:p w14:paraId="2C76573E">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302" w:type="pct"/>
            <w:vAlign w:val="center"/>
          </w:tcPr>
          <w:p w14:paraId="4DFE0A8D">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73" w:type="pct"/>
            <w:vAlign w:val="center"/>
          </w:tcPr>
          <w:p w14:paraId="3E4D076E">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52" w:type="pct"/>
            <w:vAlign w:val="center"/>
          </w:tcPr>
          <w:p w14:paraId="57723848">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330" w:type="pct"/>
            <w:vAlign w:val="center"/>
          </w:tcPr>
          <w:p w14:paraId="71768921">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48" w:type="pct"/>
            <w:vAlign w:val="center"/>
          </w:tcPr>
          <w:p w14:paraId="6BDC241F">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39" w:type="pct"/>
            <w:vAlign w:val="center"/>
          </w:tcPr>
          <w:p w14:paraId="5AD4D61B">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81" w:type="pct"/>
            <w:vAlign w:val="center"/>
          </w:tcPr>
          <w:p w14:paraId="4AE7721F">
            <w:pPr>
              <w:widowControl/>
              <w:jc w:val="center"/>
              <w:rPr>
                <w:rFonts w:hint="eastAsia" w:eastAsia="宋体"/>
                <w:kern w:val="0"/>
                <w:sz w:val="18"/>
                <w:szCs w:val="18"/>
                <w:lang w:val="en-US" w:eastAsia="zh-CN"/>
              </w:rPr>
            </w:pPr>
            <w:r>
              <w:rPr>
                <w:rFonts w:hint="eastAsia"/>
                <w:kern w:val="0"/>
                <w:sz w:val="18"/>
                <w:szCs w:val="18"/>
                <w:lang w:val="en-US" w:eastAsia="zh-CN"/>
              </w:rPr>
              <w:t>/</w:t>
            </w:r>
          </w:p>
        </w:tc>
        <w:tc>
          <w:tcPr>
            <w:tcW w:w="296" w:type="pct"/>
            <w:shd w:val="clear" w:color="auto" w:fill="auto"/>
            <w:vAlign w:val="center"/>
          </w:tcPr>
          <w:p w14:paraId="3E66A56A">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209" w:type="pct"/>
            <w:vAlign w:val="center"/>
          </w:tcPr>
          <w:p w14:paraId="69B76A94">
            <w:pPr>
              <w:widowControl/>
              <w:jc w:val="center"/>
              <w:rPr>
                <w:rFonts w:hint="default" w:eastAsia="宋体"/>
                <w:kern w:val="0"/>
                <w:sz w:val="18"/>
                <w:szCs w:val="18"/>
                <w:lang w:val="en-US" w:eastAsia="zh-CN"/>
              </w:rPr>
            </w:pPr>
            <w:r>
              <w:rPr>
                <w:rFonts w:hint="eastAsia"/>
                <w:kern w:val="0"/>
                <w:sz w:val="18"/>
                <w:szCs w:val="18"/>
                <w:lang w:val="en-US" w:eastAsia="zh-CN"/>
              </w:rPr>
              <w:t>1200</w:t>
            </w:r>
          </w:p>
        </w:tc>
      </w:tr>
      <w:tr w14:paraId="73BB2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restart"/>
            <w:vAlign w:val="center"/>
          </w:tcPr>
          <w:p w14:paraId="03CA8476">
            <w:pPr>
              <w:widowControl/>
              <w:jc w:val="center"/>
              <w:rPr>
                <w:kern w:val="0"/>
                <w:sz w:val="18"/>
                <w:szCs w:val="18"/>
              </w:rPr>
            </w:pPr>
            <w:r>
              <w:rPr>
                <w:rFonts w:hint="eastAsia"/>
                <w:kern w:val="0"/>
                <w:sz w:val="18"/>
                <w:szCs w:val="18"/>
              </w:rPr>
              <w:t>胶水废气</w:t>
            </w:r>
          </w:p>
        </w:tc>
        <w:tc>
          <w:tcPr>
            <w:tcW w:w="328" w:type="pct"/>
            <w:vMerge w:val="restart"/>
            <w:vAlign w:val="center"/>
          </w:tcPr>
          <w:p w14:paraId="0B485539">
            <w:pPr>
              <w:widowControl/>
              <w:jc w:val="center"/>
              <w:rPr>
                <w:kern w:val="0"/>
                <w:sz w:val="18"/>
                <w:szCs w:val="18"/>
              </w:rPr>
            </w:pPr>
            <w:r>
              <w:rPr>
                <w:rFonts w:hint="eastAsia"/>
                <w:kern w:val="0"/>
                <w:sz w:val="18"/>
                <w:szCs w:val="18"/>
              </w:rPr>
              <w:t>/</w:t>
            </w:r>
          </w:p>
        </w:tc>
        <w:tc>
          <w:tcPr>
            <w:tcW w:w="332" w:type="pct"/>
            <w:vAlign w:val="center"/>
          </w:tcPr>
          <w:p w14:paraId="70FA2194">
            <w:pPr>
              <w:widowControl/>
              <w:jc w:val="center"/>
              <w:rPr>
                <w:kern w:val="0"/>
                <w:sz w:val="18"/>
                <w:szCs w:val="18"/>
              </w:rPr>
            </w:pPr>
            <w:r>
              <w:rPr>
                <w:rFonts w:hint="eastAsia"/>
                <w:kern w:val="0"/>
                <w:sz w:val="18"/>
                <w:szCs w:val="18"/>
              </w:rPr>
              <w:t>无组织</w:t>
            </w:r>
          </w:p>
        </w:tc>
        <w:tc>
          <w:tcPr>
            <w:tcW w:w="332" w:type="pct"/>
            <w:vAlign w:val="center"/>
          </w:tcPr>
          <w:p w14:paraId="46E71B9C">
            <w:pPr>
              <w:widowControl/>
              <w:jc w:val="center"/>
              <w:rPr>
                <w:kern w:val="0"/>
                <w:sz w:val="18"/>
                <w:szCs w:val="18"/>
              </w:rPr>
            </w:pPr>
            <w:r>
              <w:rPr>
                <w:rFonts w:hint="eastAsia"/>
                <w:kern w:val="0"/>
                <w:sz w:val="18"/>
                <w:szCs w:val="18"/>
              </w:rPr>
              <w:t>醋酸乙烯酯</w:t>
            </w:r>
          </w:p>
        </w:tc>
        <w:tc>
          <w:tcPr>
            <w:tcW w:w="332" w:type="pct"/>
            <w:vAlign w:val="center"/>
          </w:tcPr>
          <w:p w14:paraId="2B1AF86E">
            <w:pPr>
              <w:widowControl/>
              <w:jc w:val="center"/>
              <w:rPr>
                <w:kern w:val="0"/>
                <w:sz w:val="18"/>
                <w:szCs w:val="18"/>
              </w:rPr>
            </w:pPr>
            <w:r>
              <w:rPr>
                <w:rFonts w:hint="eastAsia"/>
                <w:kern w:val="0"/>
                <w:sz w:val="18"/>
                <w:szCs w:val="18"/>
              </w:rPr>
              <w:t>物料衡算法</w:t>
            </w:r>
          </w:p>
        </w:tc>
        <w:tc>
          <w:tcPr>
            <w:tcW w:w="315" w:type="pct"/>
            <w:vAlign w:val="center"/>
          </w:tcPr>
          <w:p w14:paraId="44B955BF">
            <w:pPr>
              <w:widowControl/>
              <w:jc w:val="center"/>
              <w:rPr>
                <w:kern w:val="0"/>
                <w:sz w:val="18"/>
                <w:szCs w:val="18"/>
              </w:rPr>
            </w:pPr>
            <w:r>
              <w:rPr>
                <w:rFonts w:hint="eastAsia"/>
                <w:kern w:val="0"/>
                <w:sz w:val="18"/>
                <w:szCs w:val="18"/>
              </w:rPr>
              <w:t>/</w:t>
            </w:r>
          </w:p>
        </w:tc>
        <w:tc>
          <w:tcPr>
            <w:tcW w:w="264" w:type="pct"/>
            <w:vAlign w:val="center"/>
          </w:tcPr>
          <w:p w14:paraId="151B6CA9">
            <w:pPr>
              <w:widowControl/>
              <w:jc w:val="center"/>
              <w:rPr>
                <w:kern w:val="0"/>
                <w:sz w:val="18"/>
                <w:szCs w:val="18"/>
              </w:rPr>
            </w:pPr>
            <w:r>
              <w:rPr>
                <w:rFonts w:hint="eastAsia"/>
                <w:kern w:val="0"/>
                <w:sz w:val="18"/>
                <w:szCs w:val="18"/>
              </w:rPr>
              <w:t>0.033</w:t>
            </w:r>
          </w:p>
        </w:tc>
        <w:tc>
          <w:tcPr>
            <w:tcW w:w="339" w:type="pct"/>
            <w:vAlign w:val="center"/>
          </w:tcPr>
          <w:p w14:paraId="582454ED">
            <w:pPr>
              <w:widowControl/>
              <w:jc w:val="center"/>
              <w:rPr>
                <w:kern w:val="0"/>
                <w:sz w:val="18"/>
                <w:szCs w:val="18"/>
              </w:rPr>
            </w:pPr>
            <w:r>
              <w:rPr>
                <w:rFonts w:hint="eastAsia"/>
                <w:kern w:val="0"/>
                <w:sz w:val="18"/>
                <w:szCs w:val="18"/>
              </w:rPr>
              <w:t>/</w:t>
            </w:r>
          </w:p>
        </w:tc>
        <w:tc>
          <w:tcPr>
            <w:tcW w:w="302" w:type="pct"/>
            <w:vAlign w:val="center"/>
          </w:tcPr>
          <w:p w14:paraId="04DAF785">
            <w:pPr>
              <w:widowControl/>
              <w:jc w:val="center"/>
              <w:rPr>
                <w:kern w:val="0"/>
                <w:sz w:val="18"/>
                <w:szCs w:val="18"/>
              </w:rPr>
            </w:pPr>
            <w:r>
              <w:rPr>
                <w:rFonts w:hint="eastAsia"/>
                <w:kern w:val="0"/>
                <w:sz w:val="18"/>
                <w:szCs w:val="18"/>
              </w:rPr>
              <w:t>0.08</w:t>
            </w:r>
          </w:p>
        </w:tc>
        <w:tc>
          <w:tcPr>
            <w:tcW w:w="273" w:type="pct"/>
            <w:vAlign w:val="center"/>
          </w:tcPr>
          <w:p w14:paraId="5F56609D">
            <w:pPr>
              <w:widowControl/>
              <w:jc w:val="center"/>
              <w:rPr>
                <w:kern w:val="0"/>
                <w:sz w:val="18"/>
                <w:szCs w:val="18"/>
              </w:rPr>
            </w:pPr>
            <w:r>
              <w:rPr>
                <w:rFonts w:hint="eastAsia"/>
                <w:kern w:val="0"/>
                <w:sz w:val="18"/>
                <w:szCs w:val="18"/>
              </w:rPr>
              <w:t>/</w:t>
            </w:r>
          </w:p>
        </w:tc>
        <w:tc>
          <w:tcPr>
            <w:tcW w:w="252" w:type="pct"/>
            <w:vAlign w:val="center"/>
          </w:tcPr>
          <w:p w14:paraId="0FC542D3">
            <w:pPr>
              <w:widowControl/>
              <w:jc w:val="center"/>
              <w:rPr>
                <w:kern w:val="0"/>
                <w:sz w:val="18"/>
                <w:szCs w:val="18"/>
              </w:rPr>
            </w:pPr>
            <w:r>
              <w:rPr>
                <w:rFonts w:hint="eastAsia"/>
                <w:kern w:val="0"/>
                <w:sz w:val="18"/>
                <w:szCs w:val="18"/>
              </w:rPr>
              <w:t>/</w:t>
            </w:r>
          </w:p>
        </w:tc>
        <w:tc>
          <w:tcPr>
            <w:tcW w:w="330" w:type="pct"/>
            <w:vAlign w:val="center"/>
          </w:tcPr>
          <w:p w14:paraId="1DA15FB0">
            <w:pPr>
              <w:widowControl/>
              <w:jc w:val="center"/>
              <w:rPr>
                <w:kern w:val="0"/>
                <w:sz w:val="18"/>
                <w:szCs w:val="18"/>
              </w:rPr>
            </w:pPr>
            <w:r>
              <w:rPr>
                <w:rFonts w:hint="eastAsia"/>
                <w:kern w:val="0"/>
                <w:sz w:val="18"/>
                <w:szCs w:val="18"/>
              </w:rPr>
              <w:t>物料衡算法</w:t>
            </w:r>
          </w:p>
        </w:tc>
        <w:tc>
          <w:tcPr>
            <w:tcW w:w="248" w:type="pct"/>
            <w:vAlign w:val="center"/>
          </w:tcPr>
          <w:p w14:paraId="52E09DE8">
            <w:pPr>
              <w:widowControl/>
              <w:jc w:val="center"/>
              <w:rPr>
                <w:kern w:val="0"/>
                <w:sz w:val="18"/>
                <w:szCs w:val="18"/>
              </w:rPr>
            </w:pPr>
            <w:r>
              <w:rPr>
                <w:rFonts w:hint="eastAsia"/>
                <w:kern w:val="0"/>
                <w:sz w:val="18"/>
                <w:szCs w:val="18"/>
              </w:rPr>
              <w:t>/</w:t>
            </w:r>
          </w:p>
        </w:tc>
        <w:tc>
          <w:tcPr>
            <w:tcW w:w="239" w:type="pct"/>
            <w:shd w:val="clear" w:color="auto" w:fill="auto"/>
            <w:vAlign w:val="center"/>
          </w:tcPr>
          <w:p w14:paraId="0E16A540">
            <w:pPr>
              <w:widowControl/>
              <w:jc w:val="center"/>
              <w:rPr>
                <w:kern w:val="0"/>
                <w:sz w:val="18"/>
                <w:szCs w:val="18"/>
              </w:rPr>
            </w:pPr>
            <w:r>
              <w:rPr>
                <w:rFonts w:hint="eastAsia"/>
                <w:kern w:val="0"/>
                <w:sz w:val="18"/>
                <w:szCs w:val="18"/>
              </w:rPr>
              <w:t>0.08</w:t>
            </w:r>
          </w:p>
        </w:tc>
        <w:tc>
          <w:tcPr>
            <w:tcW w:w="281" w:type="pct"/>
            <w:shd w:val="clear" w:color="auto" w:fill="auto"/>
            <w:vAlign w:val="center"/>
          </w:tcPr>
          <w:p w14:paraId="15CE452B">
            <w:pPr>
              <w:widowControl/>
              <w:jc w:val="center"/>
              <w:rPr>
                <w:kern w:val="0"/>
                <w:sz w:val="18"/>
                <w:szCs w:val="18"/>
              </w:rPr>
            </w:pPr>
            <w:r>
              <w:rPr>
                <w:rFonts w:hint="eastAsia"/>
                <w:kern w:val="0"/>
                <w:sz w:val="18"/>
                <w:szCs w:val="18"/>
              </w:rPr>
              <w:t>/</w:t>
            </w:r>
          </w:p>
        </w:tc>
        <w:tc>
          <w:tcPr>
            <w:tcW w:w="296" w:type="pct"/>
            <w:vAlign w:val="center"/>
          </w:tcPr>
          <w:p w14:paraId="25404FF3">
            <w:pPr>
              <w:widowControl/>
              <w:jc w:val="center"/>
              <w:rPr>
                <w:kern w:val="0"/>
                <w:sz w:val="18"/>
                <w:szCs w:val="18"/>
              </w:rPr>
            </w:pPr>
            <w:r>
              <w:rPr>
                <w:rFonts w:hint="eastAsia"/>
                <w:kern w:val="0"/>
                <w:sz w:val="18"/>
                <w:szCs w:val="18"/>
              </w:rPr>
              <w:t>0.033</w:t>
            </w:r>
          </w:p>
        </w:tc>
        <w:tc>
          <w:tcPr>
            <w:tcW w:w="209" w:type="pct"/>
            <w:vAlign w:val="center"/>
          </w:tcPr>
          <w:p w14:paraId="2F47E223">
            <w:pPr>
              <w:widowControl/>
              <w:jc w:val="center"/>
              <w:rPr>
                <w:kern w:val="0"/>
                <w:sz w:val="18"/>
                <w:szCs w:val="18"/>
              </w:rPr>
            </w:pPr>
            <w:r>
              <w:rPr>
                <w:rFonts w:hint="eastAsia"/>
                <w:kern w:val="0"/>
                <w:sz w:val="18"/>
                <w:szCs w:val="18"/>
              </w:rPr>
              <w:t>2400</w:t>
            </w:r>
          </w:p>
        </w:tc>
      </w:tr>
      <w:tr w14:paraId="0E9AD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F24E80A">
            <w:pPr>
              <w:widowControl/>
              <w:jc w:val="center"/>
              <w:rPr>
                <w:kern w:val="0"/>
                <w:sz w:val="18"/>
                <w:szCs w:val="18"/>
              </w:rPr>
            </w:pPr>
          </w:p>
        </w:tc>
        <w:tc>
          <w:tcPr>
            <w:tcW w:w="328" w:type="pct"/>
            <w:vMerge w:val="continue"/>
            <w:vAlign w:val="center"/>
          </w:tcPr>
          <w:p w14:paraId="75E6C67C">
            <w:pPr>
              <w:widowControl/>
              <w:jc w:val="center"/>
              <w:rPr>
                <w:kern w:val="0"/>
                <w:sz w:val="18"/>
                <w:szCs w:val="18"/>
              </w:rPr>
            </w:pPr>
          </w:p>
        </w:tc>
        <w:tc>
          <w:tcPr>
            <w:tcW w:w="332" w:type="pct"/>
            <w:vAlign w:val="center"/>
          </w:tcPr>
          <w:p w14:paraId="315970D1">
            <w:pPr>
              <w:widowControl/>
              <w:jc w:val="center"/>
              <w:rPr>
                <w:kern w:val="0"/>
                <w:sz w:val="18"/>
                <w:szCs w:val="18"/>
              </w:rPr>
            </w:pPr>
            <w:r>
              <w:rPr>
                <w:rFonts w:hint="eastAsia"/>
                <w:kern w:val="0"/>
                <w:sz w:val="18"/>
                <w:szCs w:val="18"/>
              </w:rPr>
              <w:t>无组织</w:t>
            </w:r>
          </w:p>
        </w:tc>
        <w:tc>
          <w:tcPr>
            <w:tcW w:w="332" w:type="pct"/>
            <w:vAlign w:val="center"/>
          </w:tcPr>
          <w:p w14:paraId="4F49DFCF">
            <w:pPr>
              <w:widowControl/>
              <w:jc w:val="center"/>
              <w:rPr>
                <w:kern w:val="0"/>
                <w:sz w:val="18"/>
                <w:szCs w:val="18"/>
              </w:rPr>
            </w:pPr>
            <w:r>
              <w:rPr>
                <w:rFonts w:hint="eastAsia"/>
                <w:kern w:val="0"/>
                <w:sz w:val="18"/>
                <w:szCs w:val="18"/>
              </w:rPr>
              <w:t>甲苯</w:t>
            </w:r>
          </w:p>
        </w:tc>
        <w:tc>
          <w:tcPr>
            <w:tcW w:w="332" w:type="pct"/>
            <w:vAlign w:val="center"/>
          </w:tcPr>
          <w:p w14:paraId="601BF8E4">
            <w:pPr>
              <w:widowControl/>
              <w:jc w:val="center"/>
              <w:rPr>
                <w:kern w:val="0"/>
                <w:sz w:val="18"/>
                <w:szCs w:val="18"/>
              </w:rPr>
            </w:pPr>
            <w:r>
              <w:rPr>
                <w:rFonts w:hint="eastAsia"/>
                <w:kern w:val="0"/>
                <w:sz w:val="18"/>
                <w:szCs w:val="18"/>
              </w:rPr>
              <w:t>物料衡算法</w:t>
            </w:r>
          </w:p>
        </w:tc>
        <w:tc>
          <w:tcPr>
            <w:tcW w:w="315" w:type="pct"/>
            <w:vAlign w:val="center"/>
          </w:tcPr>
          <w:p w14:paraId="2C2823DD">
            <w:pPr>
              <w:widowControl/>
              <w:jc w:val="center"/>
              <w:rPr>
                <w:kern w:val="0"/>
                <w:sz w:val="18"/>
                <w:szCs w:val="18"/>
              </w:rPr>
            </w:pPr>
            <w:r>
              <w:rPr>
                <w:rFonts w:hint="eastAsia"/>
                <w:kern w:val="0"/>
                <w:sz w:val="18"/>
                <w:szCs w:val="18"/>
              </w:rPr>
              <w:t>/</w:t>
            </w:r>
          </w:p>
        </w:tc>
        <w:tc>
          <w:tcPr>
            <w:tcW w:w="264" w:type="pct"/>
            <w:vAlign w:val="center"/>
          </w:tcPr>
          <w:p w14:paraId="1AF49161">
            <w:pPr>
              <w:widowControl/>
              <w:jc w:val="center"/>
              <w:rPr>
                <w:kern w:val="0"/>
                <w:sz w:val="18"/>
                <w:szCs w:val="18"/>
              </w:rPr>
            </w:pPr>
            <w:r>
              <w:rPr>
                <w:rFonts w:hint="eastAsia"/>
                <w:kern w:val="0"/>
                <w:sz w:val="18"/>
                <w:szCs w:val="18"/>
              </w:rPr>
              <w:t>0.002</w:t>
            </w:r>
          </w:p>
        </w:tc>
        <w:tc>
          <w:tcPr>
            <w:tcW w:w="339" w:type="pct"/>
            <w:vAlign w:val="center"/>
          </w:tcPr>
          <w:p w14:paraId="337A03A4">
            <w:pPr>
              <w:widowControl/>
              <w:jc w:val="center"/>
              <w:rPr>
                <w:kern w:val="0"/>
                <w:sz w:val="18"/>
                <w:szCs w:val="18"/>
              </w:rPr>
            </w:pPr>
            <w:r>
              <w:rPr>
                <w:rFonts w:hint="eastAsia"/>
                <w:kern w:val="0"/>
                <w:sz w:val="18"/>
                <w:szCs w:val="18"/>
              </w:rPr>
              <w:t>/</w:t>
            </w:r>
          </w:p>
        </w:tc>
        <w:tc>
          <w:tcPr>
            <w:tcW w:w="302" w:type="pct"/>
            <w:vAlign w:val="center"/>
          </w:tcPr>
          <w:p w14:paraId="6AEA7667">
            <w:pPr>
              <w:widowControl/>
              <w:jc w:val="center"/>
              <w:rPr>
                <w:kern w:val="0"/>
                <w:sz w:val="18"/>
                <w:szCs w:val="18"/>
              </w:rPr>
            </w:pPr>
            <w:r>
              <w:rPr>
                <w:rFonts w:hint="eastAsia"/>
                <w:kern w:val="0"/>
                <w:sz w:val="18"/>
                <w:szCs w:val="18"/>
              </w:rPr>
              <w:t>0.005</w:t>
            </w:r>
          </w:p>
        </w:tc>
        <w:tc>
          <w:tcPr>
            <w:tcW w:w="273" w:type="pct"/>
            <w:vAlign w:val="center"/>
          </w:tcPr>
          <w:p w14:paraId="3FCD46BA">
            <w:pPr>
              <w:widowControl/>
              <w:jc w:val="center"/>
              <w:rPr>
                <w:kern w:val="0"/>
                <w:sz w:val="18"/>
                <w:szCs w:val="18"/>
              </w:rPr>
            </w:pPr>
            <w:r>
              <w:rPr>
                <w:rFonts w:hint="eastAsia"/>
                <w:kern w:val="0"/>
                <w:sz w:val="18"/>
                <w:szCs w:val="18"/>
              </w:rPr>
              <w:t>/</w:t>
            </w:r>
          </w:p>
        </w:tc>
        <w:tc>
          <w:tcPr>
            <w:tcW w:w="252" w:type="pct"/>
            <w:vAlign w:val="center"/>
          </w:tcPr>
          <w:p w14:paraId="411F2A68">
            <w:pPr>
              <w:widowControl/>
              <w:jc w:val="center"/>
              <w:rPr>
                <w:kern w:val="0"/>
                <w:sz w:val="18"/>
                <w:szCs w:val="18"/>
              </w:rPr>
            </w:pPr>
            <w:r>
              <w:rPr>
                <w:rFonts w:hint="eastAsia"/>
                <w:kern w:val="0"/>
                <w:sz w:val="18"/>
                <w:szCs w:val="18"/>
              </w:rPr>
              <w:t>/</w:t>
            </w:r>
          </w:p>
        </w:tc>
        <w:tc>
          <w:tcPr>
            <w:tcW w:w="330" w:type="pct"/>
            <w:vAlign w:val="center"/>
          </w:tcPr>
          <w:p w14:paraId="63AAB3A4">
            <w:pPr>
              <w:widowControl/>
              <w:jc w:val="center"/>
              <w:rPr>
                <w:kern w:val="0"/>
                <w:sz w:val="18"/>
                <w:szCs w:val="18"/>
              </w:rPr>
            </w:pPr>
            <w:r>
              <w:rPr>
                <w:rFonts w:hint="eastAsia"/>
                <w:kern w:val="0"/>
                <w:sz w:val="18"/>
                <w:szCs w:val="18"/>
              </w:rPr>
              <w:t>物料衡算法</w:t>
            </w:r>
          </w:p>
        </w:tc>
        <w:tc>
          <w:tcPr>
            <w:tcW w:w="248" w:type="pct"/>
            <w:vAlign w:val="center"/>
          </w:tcPr>
          <w:p w14:paraId="26BA8EF2">
            <w:pPr>
              <w:widowControl/>
              <w:jc w:val="center"/>
              <w:rPr>
                <w:kern w:val="0"/>
                <w:sz w:val="18"/>
                <w:szCs w:val="18"/>
              </w:rPr>
            </w:pPr>
            <w:r>
              <w:rPr>
                <w:rFonts w:hint="eastAsia"/>
                <w:kern w:val="0"/>
                <w:sz w:val="18"/>
                <w:szCs w:val="18"/>
              </w:rPr>
              <w:t>/</w:t>
            </w:r>
          </w:p>
        </w:tc>
        <w:tc>
          <w:tcPr>
            <w:tcW w:w="239" w:type="pct"/>
            <w:shd w:val="clear" w:color="auto" w:fill="auto"/>
            <w:vAlign w:val="center"/>
          </w:tcPr>
          <w:p w14:paraId="5E0A90C3">
            <w:pPr>
              <w:widowControl/>
              <w:jc w:val="center"/>
              <w:rPr>
                <w:kern w:val="0"/>
                <w:sz w:val="18"/>
                <w:szCs w:val="18"/>
              </w:rPr>
            </w:pPr>
            <w:r>
              <w:rPr>
                <w:rFonts w:hint="eastAsia"/>
                <w:kern w:val="0"/>
                <w:sz w:val="18"/>
                <w:szCs w:val="18"/>
              </w:rPr>
              <w:t>0.002</w:t>
            </w:r>
          </w:p>
        </w:tc>
        <w:tc>
          <w:tcPr>
            <w:tcW w:w="281" w:type="pct"/>
            <w:shd w:val="clear" w:color="auto" w:fill="auto"/>
            <w:vAlign w:val="center"/>
          </w:tcPr>
          <w:p w14:paraId="5660612E">
            <w:pPr>
              <w:widowControl/>
              <w:jc w:val="center"/>
              <w:rPr>
                <w:kern w:val="0"/>
                <w:sz w:val="18"/>
                <w:szCs w:val="18"/>
              </w:rPr>
            </w:pPr>
            <w:r>
              <w:rPr>
                <w:rFonts w:hint="eastAsia"/>
                <w:kern w:val="0"/>
                <w:sz w:val="18"/>
                <w:szCs w:val="18"/>
              </w:rPr>
              <w:t>/</w:t>
            </w:r>
          </w:p>
        </w:tc>
        <w:tc>
          <w:tcPr>
            <w:tcW w:w="296" w:type="pct"/>
            <w:shd w:val="clear" w:color="auto" w:fill="auto"/>
            <w:vAlign w:val="center"/>
          </w:tcPr>
          <w:p w14:paraId="4A7D0178">
            <w:pPr>
              <w:widowControl/>
              <w:jc w:val="center"/>
              <w:rPr>
                <w:kern w:val="0"/>
                <w:sz w:val="18"/>
                <w:szCs w:val="18"/>
              </w:rPr>
            </w:pPr>
            <w:r>
              <w:rPr>
                <w:rFonts w:hint="eastAsia"/>
                <w:kern w:val="0"/>
                <w:sz w:val="18"/>
                <w:szCs w:val="18"/>
              </w:rPr>
              <w:t>0.005</w:t>
            </w:r>
          </w:p>
        </w:tc>
        <w:tc>
          <w:tcPr>
            <w:tcW w:w="209" w:type="pct"/>
            <w:vAlign w:val="center"/>
          </w:tcPr>
          <w:p w14:paraId="38AE37AE">
            <w:pPr>
              <w:widowControl/>
              <w:jc w:val="center"/>
              <w:rPr>
                <w:kern w:val="0"/>
                <w:sz w:val="18"/>
                <w:szCs w:val="18"/>
              </w:rPr>
            </w:pPr>
            <w:r>
              <w:rPr>
                <w:rFonts w:hint="eastAsia"/>
                <w:kern w:val="0"/>
                <w:sz w:val="18"/>
                <w:szCs w:val="18"/>
              </w:rPr>
              <w:t>2400</w:t>
            </w:r>
          </w:p>
        </w:tc>
      </w:tr>
      <w:tr w14:paraId="2AA02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64E80D5F">
            <w:pPr>
              <w:widowControl/>
              <w:jc w:val="center"/>
              <w:rPr>
                <w:kern w:val="0"/>
                <w:sz w:val="18"/>
                <w:szCs w:val="18"/>
              </w:rPr>
            </w:pPr>
          </w:p>
        </w:tc>
        <w:tc>
          <w:tcPr>
            <w:tcW w:w="328" w:type="pct"/>
            <w:vMerge w:val="continue"/>
            <w:vAlign w:val="center"/>
          </w:tcPr>
          <w:p w14:paraId="3555DDF6">
            <w:pPr>
              <w:widowControl/>
              <w:jc w:val="center"/>
              <w:rPr>
                <w:kern w:val="0"/>
                <w:sz w:val="18"/>
                <w:szCs w:val="18"/>
              </w:rPr>
            </w:pPr>
          </w:p>
        </w:tc>
        <w:tc>
          <w:tcPr>
            <w:tcW w:w="332" w:type="pct"/>
            <w:vAlign w:val="center"/>
          </w:tcPr>
          <w:p w14:paraId="3A310826">
            <w:pPr>
              <w:widowControl/>
              <w:jc w:val="center"/>
              <w:rPr>
                <w:kern w:val="0"/>
                <w:sz w:val="18"/>
                <w:szCs w:val="18"/>
              </w:rPr>
            </w:pPr>
            <w:r>
              <w:rPr>
                <w:rFonts w:hint="eastAsia"/>
                <w:kern w:val="0"/>
                <w:sz w:val="18"/>
                <w:szCs w:val="18"/>
              </w:rPr>
              <w:t>无组织</w:t>
            </w:r>
          </w:p>
        </w:tc>
        <w:tc>
          <w:tcPr>
            <w:tcW w:w="332" w:type="pct"/>
            <w:vAlign w:val="center"/>
          </w:tcPr>
          <w:p w14:paraId="06127539">
            <w:pPr>
              <w:widowControl/>
              <w:jc w:val="center"/>
              <w:rPr>
                <w:kern w:val="0"/>
                <w:sz w:val="18"/>
                <w:szCs w:val="18"/>
              </w:rPr>
            </w:pPr>
            <w:r>
              <w:rPr>
                <w:rFonts w:hint="eastAsia"/>
                <w:kern w:val="0"/>
                <w:sz w:val="18"/>
                <w:szCs w:val="18"/>
              </w:rPr>
              <w:t>甲醛</w:t>
            </w:r>
          </w:p>
        </w:tc>
        <w:tc>
          <w:tcPr>
            <w:tcW w:w="332" w:type="pct"/>
            <w:vAlign w:val="center"/>
          </w:tcPr>
          <w:p w14:paraId="0D27AFE7">
            <w:pPr>
              <w:widowControl/>
              <w:jc w:val="center"/>
              <w:rPr>
                <w:kern w:val="0"/>
                <w:sz w:val="18"/>
                <w:szCs w:val="18"/>
              </w:rPr>
            </w:pPr>
            <w:r>
              <w:rPr>
                <w:rFonts w:hint="eastAsia"/>
                <w:kern w:val="0"/>
                <w:sz w:val="18"/>
                <w:szCs w:val="18"/>
              </w:rPr>
              <w:t>物料衡算法</w:t>
            </w:r>
          </w:p>
        </w:tc>
        <w:tc>
          <w:tcPr>
            <w:tcW w:w="315" w:type="pct"/>
            <w:shd w:val="clear" w:color="auto" w:fill="auto"/>
            <w:vAlign w:val="center"/>
          </w:tcPr>
          <w:p w14:paraId="4693DA21">
            <w:pPr>
              <w:widowControl/>
              <w:jc w:val="center"/>
              <w:rPr>
                <w:kern w:val="0"/>
                <w:sz w:val="18"/>
                <w:szCs w:val="18"/>
              </w:rPr>
            </w:pPr>
            <w:r>
              <w:rPr>
                <w:rFonts w:hint="eastAsia"/>
                <w:kern w:val="0"/>
                <w:sz w:val="18"/>
                <w:szCs w:val="18"/>
              </w:rPr>
              <w:t>/</w:t>
            </w:r>
          </w:p>
        </w:tc>
        <w:tc>
          <w:tcPr>
            <w:tcW w:w="264" w:type="pct"/>
            <w:shd w:val="clear" w:color="auto" w:fill="auto"/>
            <w:vAlign w:val="center"/>
          </w:tcPr>
          <w:p w14:paraId="3123FA15">
            <w:pPr>
              <w:widowControl/>
              <w:jc w:val="center"/>
              <w:rPr>
                <w:kern w:val="0"/>
                <w:sz w:val="18"/>
                <w:szCs w:val="18"/>
              </w:rPr>
            </w:pPr>
            <w:r>
              <w:rPr>
                <w:rFonts w:hint="eastAsia"/>
                <w:kern w:val="0"/>
                <w:sz w:val="18"/>
                <w:szCs w:val="18"/>
              </w:rPr>
              <w:t>0.0004</w:t>
            </w:r>
          </w:p>
        </w:tc>
        <w:tc>
          <w:tcPr>
            <w:tcW w:w="339" w:type="pct"/>
            <w:shd w:val="clear" w:color="auto" w:fill="auto"/>
            <w:vAlign w:val="center"/>
          </w:tcPr>
          <w:p w14:paraId="4C3DC627">
            <w:pPr>
              <w:widowControl/>
              <w:jc w:val="center"/>
              <w:rPr>
                <w:kern w:val="0"/>
                <w:sz w:val="18"/>
                <w:szCs w:val="18"/>
              </w:rPr>
            </w:pPr>
            <w:r>
              <w:rPr>
                <w:rFonts w:hint="eastAsia"/>
                <w:kern w:val="0"/>
                <w:sz w:val="18"/>
                <w:szCs w:val="18"/>
              </w:rPr>
              <w:t>/</w:t>
            </w:r>
          </w:p>
        </w:tc>
        <w:tc>
          <w:tcPr>
            <w:tcW w:w="302" w:type="pct"/>
            <w:shd w:val="clear" w:color="auto" w:fill="auto"/>
            <w:vAlign w:val="center"/>
          </w:tcPr>
          <w:p w14:paraId="78E7ADCA">
            <w:pPr>
              <w:widowControl/>
              <w:jc w:val="center"/>
              <w:rPr>
                <w:kern w:val="0"/>
                <w:sz w:val="18"/>
                <w:szCs w:val="18"/>
              </w:rPr>
            </w:pPr>
            <w:r>
              <w:rPr>
                <w:rFonts w:hint="eastAsia"/>
                <w:kern w:val="0"/>
                <w:sz w:val="18"/>
                <w:szCs w:val="18"/>
              </w:rPr>
              <w:t>0.001</w:t>
            </w:r>
          </w:p>
        </w:tc>
        <w:tc>
          <w:tcPr>
            <w:tcW w:w="273" w:type="pct"/>
            <w:shd w:val="clear" w:color="auto" w:fill="auto"/>
            <w:vAlign w:val="center"/>
          </w:tcPr>
          <w:p w14:paraId="6B03269A">
            <w:pPr>
              <w:widowControl/>
              <w:jc w:val="center"/>
              <w:rPr>
                <w:kern w:val="0"/>
                <w:sz w:val="18"/>
                <w:szCs w:val="18"/>
              </w:rPr>
            </w:pPr>
            <w:r>
              <w:rPr>
                <w:rFonts w:hint="eastAsia"/>
                <w:kern w:val="0"/>
                <w:sz w:val="18"/>
                <w:szCs w:val="18"/>
              </w:rPr>
              <w:t>/</w:t>
            </w:r>
          </w:p>
        </w:tc>
        <w:tc>
          <w:tcPr>
            <w:tcW w:w="252" w:type="pct"/>
            <w:shd w:val="clear" w:color="auto" w:fill="auto"/>
            <w:vAlign w:val="center"/>
          </w:tcPr>
          <w:p w14:paraId="72ECC479">
            <w:pPr>
              <w:widowControl/>
              <w:jc w:val="center"/>
              <w:rPr>
                <w:kern w:val="0"/>
                <w:sz w:val="18"/>
                <w:szCs w:val="18"/>
              </w:rPr>
            </w:pPr>
            <w:r>
              <w:rPr>
                <w:rFonts w:hint="eastAsia"/>
                <w:kern w:val="0"/>
                <w:sz w:val="18"/>
                <w:szCs w:val="18"/>
              </w:rPr>
              <w:t>/</w:t>
            </w:r>
          </w:p>
        </w:tc>
        <w:tc>
          <w:tcPr>
            <w:tcW w:w="330" w:type="pct"/>
            <w:vAlign w:val="center"/>
          </w:tcPr>
          <w:p w14:paraId="003A50C5">
            <w:pPr>
              <w:widowControl/>
              <w:jc w:val="center"/>
              <w:rPr>
                <w:kern w:val="0"/>
                <w:sz w:val="18"/>
                <w:szCs w:val="18"/>
              </w:rPr>
            </w:pPr>
            <w:r>
              <w:rPr>
                <w:rFonts w:hint="eastAsia"/>
                <w:kern w:val="0"/>
                <w:sz w:val="18"/>
                <w:szCs w:val="18"/>
              </w:rPr>
              <w:t>物料衡算法</w:t>
            </w:r>
          </w:p>
        </w:tc>
        <w:tc>
          <w:tcPr>
            <w:tcW w:w="248" w:type="pct"/>
            <w:vAlign w:val="center"/>
          </w:tcPr>
          <w:p w14:paraId="58393DF4">
            <w:pPr>
              <w:widowControl/>
              <w:jc w:val="center"/>
              <w:rPr>
                <w:kern w:val="0"/>
                <w:sz w:val="18"/>
                <w:szCs w:val="18"/>
              </w:rPr>
            </w:pPr>
            <w:r>
              <w:rPr>
                <w:rFonts w:hint="eastAsia"/>
                <w:kern w:val="0"/>
                <w:sz w:val="18"/>
                <w:szCs w:val="18"/>
              </w:rPr>
              <w:t>/</w:t>
            </w:r>
          </w:p>
        </w:tc>
        <w:tc>
          <w:tcPr>
            <w:tcW w:w="239" w:type="pct"/>
            <w:shd w:val="clear" w:color="auto" w:fill="auto"/>
            <w:vAlign w:val="center"/>
          </w:tcPr>
          <w:p w14:paraId="270A8FD0">
            <w:pPr>
              <w:widowControl/>
              <w:jc w:val="center"/>
              <w:rPr>
                <w:kern w:val="0"/>
                <w:sz w:val="18"/>
                <w:szCs w:val="18"/>
              </w:rPr>
            </w:pPr>
            <w:r>
              <w:rPr>
                <w:rFonts w:hint="eastAsia"/>
                <w:kern w:val="0"/>
                <w:sz w:val="18"/>
                <w:szCs w:val="18"/>
              </w:rPr>
              <w:t>0.0004</w:t>
            </w:r>
          </w:p>
        </w:tc>
        <w:tc>
          <w:tcPr>
            <w:tcW w:w="281" w:type="pct"/>
            <w:shd w:val="clear" w:color="auto" w:fill="auto"/>
            <w:vAlign w:val="center"/>
          </w:tcPr>
          <w:p w14:paraId="5B3BDC14">
            <w:pPr>
              <w:widowControl/>
              <w:jc w:val="center"/>
              <w:rPr>
                <w:kern w:val="0"/>
                <w:sz w:val="18"/>
                <w:szCs w:val="18"/>
              </w:rPr>
            </w:pPr>
            <w:r>
              <w:rPr>
                <w:rFonts w:hint="eastAsia"/>
                <w:kern w:val="0"/>
                <w:sz w:val="18"/>
                <w:szCs w:val="18"/>
              </w:rPr>
              <w:t>/</w:t>
            </w:r>
          </w:p>
        </w:tc>
        <w:tc>
          <w:tcPr>
            <w:tcW w:w="296" w:type="pct"/>
            <w:shd w:val="clear" w:color="auto" w:fill="auto"/>
            <w:vAlign w:val="center"/>
          </w:tcPr>
          <w:p w14:paraId="2276C9FA">
            <w:pPr>
              <w:widowControl/>
              <w:jc w:val="center"/>
              <w:rPr>
                <w:kern w:val="0"/>
                <w:sz w:val="18"/>
                <w:szCs w:val="18"/>
              </w:rPr>
            </w:pPr>
            <w:r>
              <w:rPr>
                <w:rFonts w:hint="eastAsia"/>
                <w:kern w:val="0"/>
                <w:sz w:val="18"/>
                <w:szCs w:val="18"/>
              </w:rPr>
              <w:t>0.001</w:t>
            </w:r>
          </w:p>
        </w:tc>
        <w:tc>
          <w:tcPr>
            <w:tcW w:w="209" w:type="pct"/>
            <w:vAlign w:val="center"/>
          </w:tcPr>
          <w:p w14:paraId="422F4613">
            <w:pPr>
              <w:widowControl/>
              <w:jc w:val="center"/>
              <w:rPr>
                <w:kern w:val="0"/>
                <w:sz w:val="18"/>
                <w:szCs w:val="18"/>
              </w:rPr>
            </w:pPr>
            <w:r>
              <w:rPr>
                <w:rFonts w:hint="eastAsia"/>
                <w:kern w:val="0"/>
                <w:sz w:val="18"/>
                <w:szCs w:val="18"/>
              </w:rPr>
              <w:t>2400</w:t>
            </w:r>
          </w:p>
        </w:tc>
      </w:tr>
      <w:tr w14:paraId="246072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Align w:val="center"/>
          </w:tcPr>
          <w:p w14:paraId="5C1D8A4E">
            <w:pPr>
              <w:widowControl/>
              <w:jc w:val="center"/>
              <w:rPr>
                <w:kern w:val="0"/>
                <w:sz w:val="18"/>
                <w:szCs w:val="18"/>
              </w:rPr>
            </w:pPr>
            <w:r>
              <w:rPr>
                <w:rFonts w:hint="eastAsia"/>
                <w:kern w:val="0"/>
                <w:sz w:val="18"/>
                <w:szCs w:val="18"/>
              </w:rPr>
              <w:t>下料粉尘、木制粉尘</w:t>
            </w:r>
          </w:p>
        </w:tc>
        <w:tc>
          <w:tcPr>
            <w:tcW w:w="328" w:type="pct"/>
            <w:vAlign w:val="center"/>
          </w:tcPr>
          <w:p w14:paraId="744FC5B9">
            <w:pPr>
              <w:widowControl/>
              <w:jc w:val="center"/>
              <w:rPr>
                <w:kern w:val="0"/>
                <w:sz w:val="18"/>
                <w:szCs w:val="18"/>
              </w:rPr>
            </w:pPr>
            <w:r>
              <w:rPr>
                <w:rFonts w:hint="eastAsia"/>
                <w:kern w:val="0"/>
                <w:sz w:val="18"/>
                <w:szCs w:val="18"/>
              </w:rPr>
              <w:t>下料、板材加工等</w:t>
            </w:r>
          </w:p>
        </w:tc>
        <w:tc>
          <w:tcPr>
            <w:tcW w:w="332" w:type="pct"/>
            <w:vAlign w:val="center"/>
          </w:tcPr>
          <w:p w14:paraId="33613FEC">
            <w:pPr>
              <w:widowControl/>
              <w:jc w:val="center"/>
              <w:rPr>
                <w:kern w:val="0"/>
                <w:sz w:val="18"/>
                <w:szCs w:val="18"/>
              </w:rPr>
            </w:pPr>
            <w:r>
              <w:rPr>
                <w:rFonts w:hint="eastAsia"/>
                <w:kern w:val="0"/>
                <w:sz w:val="18"/>
                <w:szCs w:val="18"/>
              </w:rPr>
              <w:t>无组织</w:t>
            </w:r>
          </w:p>
        </w:tc>
        <w:tc>
          <w:tcPr>
            <w:tcW w:w="332" w:type="pct"/>
            <w:vAlign w:val="center"/>
          </w:tcPr>
          <w:p w14:paraId="34DE01FF">
            <w:pPr>
              <w:widowControl/>
              <w:jc w:val="center"/>
              <w:rPr>
                <w:kern w:val="0"/>
                <w:sz w:val="18"/>
                <w:szCs w:val="18"/>
              </w:rPr>
            </w:pPr>
            <w:r>
              <w:rPr>
                <w:rFonts w:hint="eastAsia"/>
                <w:kern w:val="0"/>
                <w:sz w:val="18"/>
                <w:szCs w:val="18"/>
              </w:rPr>
              <w:t>颗粒物</w:t>
            </w:r>
          </w:p>
        </w:tc>
        <w:tc>
          <w:tcPr>
            <w:tcW w:w="332" w:type="pct"/>
            <w:vAlign w:val="center"/>
          </w:tcPr>
          <w:p w14:paraId="43FF757E">
            <w:pPr>
              <w:widowControl/>
              <w:jc w:val="center"/>
              <w:rPr>
                <w:kern w:val="0"/>
                <w:sz w:val="18"/>
                <w:szCs w:val="18"/>
              </w:rPr>
            </w:pPr>
            <w:r>
              <w:rPr>
                <w:rFonts w:hint="eastAsia"/>
                <w:kern w:val="0"/>
                <w:sz w:val="18"/>
                <w:szCs w:val="18"/>
              </w:rPr>
              <w:t>产污系数法</w:t>
            </w:r>
          </w:p>
        </w:tc>
        <w:tc>
          <w:tcPr>
            <w:tcW w:w="315" w:type="pct"/>
            <w:shd w:val="clear" w:color="auto" w:fill="auto"/>
            <w:vAlign w:val="center"/>
          </w:tcPr>
          <w:p w14:paraId="3A4B4528">
            <w:pPr>
              <w:widowControl/>
              <w:jc w:val="center"/>
              <w:rPr>
                <w:kern w:val="0"/>
                <w:sz w:val="18"/>
                <w:szCs w:val="18"/>
              </w:rPr>
            </w:pPr>
            <w:r>
              <w:rPr>
                <w:rFonts w:hint="eastAsia"/>
                <w:kern w:val="0"/>
                <w:sz w:val="18"/>
                <w:szCs w:val="18"/>
              </w:rPr>
              <w:t>/</w:t>
            </w:r>
          </w:p>
        </w:tc>
        <w:tc>
          <w:tcPr>
            <w:tcW w:w="264" w:type="pct"/>
            <w:shd w:val="clear" w:color="auto" w:fill="auto"/>
            <w:vAlign w:val="center"/>
          </w:tcPr>
          <w:p w14:paraId="74A8D5F6">
            <w:pPr>
              <w:widowControl/>
              <w:jc w:val="center"/>
              <w:rPr>
                <w:kern w:val="0"/>
                <w:sz w:val="18"/>
                <w:szCs w:val="18"/>
              </w:rPr>
            </w:pPr>
            <w:r>
              <w:rPr>
                <w:rFonts w:hint="eastAsia"/>
                <w:kern w:val="0"/>
                <w:sz w:val="18"/>
                <w:szCs w:val="18"/>
              </w:rPr>
              <w:t>/</w:t>
            </w:r>
          </w:p>
        </w:tc>
        <w:tc>
          <w:tcPr>
            <w:tcW w:w="339" w:type="pct"/>
            <w:shd w:val="clear" w:color="auto" w:fill="auto"/>
            <w:vAlign w:val="center"/>
          </w:tcPr>
          <w:p w14:paraId="0C2534AF">
            <w:pPr>
              <w:widowControl/>
              <w:jc w:val="center"/>
              <w:rPr>
                <w:kern w:val="0"/>
                <w:sz w:val="18"/>
                <w:szCs w:val="18"/>
              </w:rPr>
            </w:pPr>
            <w:r>
              <w:rPr>
                <w:rFonts w:hint="eastAsia"/>
                <w:kern w:val="0"/>
                <w:sz w:val="18"/>
                <w:szCs w:val="18"/>
              </w:rPr>
              <w:t>/</w:t>
            </w:r>
          </w:p>
        </w:tc>
        <w:tc>
          <w:tcPr>
            <w:tcW w:w="302" w:type="pct"/>
            <w:shd w:val="clear" w:color="auto" w:fill="auto"/>
            <w:vAlign w:val="center"/>
          </w:tcPr>
          <w:p w14:paraId="0A62C9DC">
            <w:pPr>
              <w:widowControl/>
              <w:jc w:val="center"/>
              <w:rPr>
                <w:kern w:val="0"/>
                <w:sz w:val="18"/>
                <w:szCs w:val="18"/>
              </w:rPr>
            </w:pPr>
            <w:r>
              <w:rPr>
                <w:rFonts w:hint="eastAsia"/>
                <w:kern w:val="0"/>
                <w:sz w:val="18"/>
                <w:szCs w:val="18"/>
              </w:rPr>
              <w:t>0.375</w:t>
            </w:r>
          </w:p>
        </w:tc>
        <w:tc>
          <w:tcPr>
            <w:tcW w:w="273" w:type="pct"/>
            <w:shd w:val="clear" w:color="auto" w:fill="auto"/>
            <w:vAlign w:val="center"/>
          </w:tcPr>
          <w:p w14:paraId="0AE6BDD0">
            <w:pPr>
              <w:widowControl/>
              <w:jc w:val="center"/>
              <w:rPr>
                <w:kern w:val="0"/>
                <w:sz w:val="18"/>
                <w:szCs w:val="18"/>
              </w:rPr>
            </w:pPr>
            <w:r>
              <w:rPr>
                <w:rFonts w:hint="eastAsia"/>
                <w:kern w:val="0"/>
                <w:sz w:val="18"/>
                <w:szCs w:val="18"/>
              </w:rPr>
              <w:t>袋式过滤器</w:t>
            </w:r>
          </w:p>
        </w:tc>
        <w:tc>
          <w:tcPr>
            <w:tcW w:w="252" w:type="pct"/>
            <w:shd w:val="clear" w:color="auto" w:fill="auto"/>
            <w:vAlign w:val="center"/>
          </w:tcPr>
          <w:p w14:paraId="510C9394">
            <w:pPr>
              <w:widowControl/>
              <w:jc w:val="center"/>
              <w:rPr>
                <w:kern w:val="0"/>
                <w:sz w:val="18"/>
                <w:szCs w:val="18"/>
              </w:rPr>
            </w:pPr>
            <w:r>
              <w:rPr>
                <w:rFonts w:hint="eastAsia"/>
                <w:kern w:val="0"/>
                <w:sz w:val="18"/>
                <w:szCs w:val="18"/>
              </w:rPr>
              <w:t>99%</w:t>
            </w:r>
          </w:p>
        </w:tc>
        <w:tc>
          <w:tcPr>
            <w:tcW w:w="330" w:type="pct"/>
            <w:vAlign w:val="center"/>
          </w:tcPr>
          <w:p w14:paraId="6A866563">
            <w:pPr>
              <w:widowControl/>
              <w:jc w:val="center"/>
              <w:rPr>
                <w:kern w:val="0"/>
                <w:sz w:val="18"/>
                <w:szCs w:val="18"/>
              </w:rPr>
            </w:pPr>
            <w:r>
              <w:rPr>
                <w:rFonts w:hint="eastAsia"/>
                <w:kern w:val="0"/>
                <w:sz w:val="18"/>
                <w:szCs w:val="18"/>
              </w:rPr>
              <w:t>产污系数法</w:t>
            </w:r>
          </w:p>
        </w:tc>
        <w:tc>
          <w:tcPr>
            <w:tcW w:w="248" w:type="pct"/>
            <w:vAlign w:val="center"/>
          </w:tcPr>
          <w:p w14:paraId="40EC71E3">
            <w:pPr>
              <w:widowControl/>
              <w:jc w:val="center"/>
              <w:rPr>
                <w:kern w:val="0"/>
                <w:sz w:val="18"/>
                <w:szCs w:val="18"/>
              </w:rPr>
            </w:pPr>
            <w:r>
              <w:rPr>
                <w:rFonts w:hint="eastAsia"/>
                <w:kern w:val="0"/>
                <w:sz w:val="18"/>
                <w:szCs w:val="18"/>
              </w:rPr>
              <w:t>/</w:t>
            </w:r>
          </w:p>
        </w:tc>
        <w:tc>
          <w:tcPr>
            <w:tcW w:w="239" w:type="pct"/>
            <w:shd w:val="clear" w:color="auto" w:fill="auto"/>
            <w:vAlign w:val="center"/>
          </w:tcPr>
          <w:p w14:paraId="49D9F305">
            <w:pPr>
              <w:widowControl/>
              <w:jc w:val="center"/>
              <w:rPr>
                <w:kern w:val="0"/>
                <w:sz w:val="18"/>
                <w:szCs w:val="18"/>
              </w:rPr>
            </w:pPr>
            <w:r>
              <w:rPr>
                <w:rFonts w:hint="eastAsia"/>
                <w:kern w:val="0"/>
                <w:sz w:val="18"/>
                <w:szCs w:val="18"/>
              </w:rPr>
              <w:t>0.0325</w:t>
            </w:r>
          </w:p>
        </w:tc>
        <w:tc>
          <w:tcPr>
            <w:tcW w:w="281" w:type="pct"/>
            <w:shd w:val="clear" w:color="auto" w:fill="auto"/>
            <w:vAlign w:val="center"/>
          </w:tcPr>
          <w:p w14:paraId="494CF3B0">
            <w:pPr>
              <w:widowControl/>
              <w:jc w:val="center"/>
              <w:rPr>
                <w:kern w:val="0"/>
                <w:sz w:val="18"/>
                <w:szCs w:val="18"/>
              </w:rPr>
            </w:pPr>
            <w:r>
              <w:rPr>
                <w:rFonts w:hint="eastAsia"/>
                <w:kern w:val="0"/>
                <w:sz w:val="18"/>
                <w:szCs w:val="18"/>
              </w:rPr>
              <w:t>/</w:t>
            </w:r>
          </w:p>
        </w:tc>
        <w:tc>
          <w:tcPr>
            <w:tcW w:w="296" w:type="pct"/>
            <w:shd w:val="clear" w:color="auto" w:fill="auto"/>
            <w:vAlign w:val="center"/>
          </w:tcPr>
          <w:p w14:paraId="282D7DDB">
            <w:pPr>
              <w:widowControl/>
              <w:jc w:val="center"/>
              <w:rPr>
                <w:kern w:val="0"/>
                <w:sz w:val="18"/>
                <w:szCs w:val="18"/>
              </w:rPr>
            </w:pPr>
            <w:r>
              <w:rPr>
                <w:rFonts w:hint="eastAsia"/>
                <w:kern w:val="0"/>
                <w:sz w:val="18"/>
                <w:szCs w:val="18"/>
              </w:rPr>
              <w:t>0.078</w:t>
            </w:r>
          </w:p>
        </w:tc>
        <w:tc>
          <w:tcPr>
            <w:tcW w:w="209" w:type="pct"/>
            <w:vAlign w:val="center"/>
          </w:tcPr>
          <w:p w14:paraId="74420901">
            <w:pPr>
              <w:widowControl/>
              <w:jc w:val="center"/>
              <w:rPr>
                <w:kern w:val="0"/>
                <w:sz w:val="18"/>
                <w:szCs w:val="18"/>
              </w:rPr>
            </w:pPr>
            <w:r>
              <w:rPr>
                <w:rFonts w:hint="eastAsia"/>
                <w:kern w:val="0"/>
                <w:sz w:val="18"/>
                <w:szCs w:val="18"/>
              </w:rPr>
              <w:t>2400</w:t>
            </w:r>
          </w:p>
        </w:tc>
      </w:tr>
      <w:tr w14:paraId="498EBD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restart"/>
            <w:vAlign w:val="center"/>
          </w:tcPr>
          <w:p w14:paraId="2310FFBB">
            <w:pPr>
              <w:widowControl/>
              <w:jc w:val="center"/>
              <w:rPr>
                <w:kern w:val="0"/>
                <w:sz w:val="18"/>
                <w:szCs w:val="18"/>
              </w:rPr>
            </w:pPr>
            <w:r>
              <w:rPr>
                <w:rFonts w:hint="eastAsia"/>
                <w:kern w:val="0"/>
                <w:sz w:val="18"/>
                <w:szCs w:val="18"/>
              </w:rPr>
              <w:t>合计</w:t>
            </w:r>
          </w:p>
        </w:tc>
        <w:tc>
          <w:tcPr>
            <w:tcW w:w="328" w:type="pct"/>
            <w:vAlign w:val="center"/>
          </w:tcPr>
          <w:p w14:paraId="5E2F7283">
            <w:pPr>
              <w:widowControl/>
              <w:jc w:val="center"/>
              <w:rPr>
                <w:kern w:val="0"/>
                <w:sz w:val="18"/>
                <w:szCs w:val="18"/>
              </w:rPr>
            </w:pPr>
            <w:r>
              <w:rPr>
                <w:rFonts w:hint="eastAsia"/>
                <w:kern w:val="0"/>
                <w:sz w:val="18"/>
                <w:szCs w:val="18"/>
              </w:rPr>
              <w:t>/</w:t>
            </w:r>
          </w:p>
        </w:tc>
        <w:tc>
          <w:tcPr>
            <w:tcW w:w="332" w:type="pct"/>
            <w:vAlign w:val="center"/>
          </w:tcPr>
          <w:p w14:paraId="5D48F3AA">
            <w:pPr>
              <w:widowControl/>
              <w:jc w:val="center"/>
              <w:rPr>
                <w:kern w:val="0"/>
                <w:sz w:val="18"/>
                <w:szCs w:val="18"/>
              </w:rPr>
            </w:pPr>
            <w:r>
              <w:rPr>
                <w:rFonts w:hint="eastAsia"/>
                <w:kern w:val="0"/>
                <w:sz w:val="18"/>
                <w:szCs w:val="18"/>
              </w:rPr>
              <w:t>/</w:t>
            </w:r>
          </w:p>
        </w:tc>
        <w:tc>
          <w:tcPr>
            <w:tcW w:w="332" w:type="pct"/>
            <w:vAlign w:val="center"/>
          </w:tcPr>
          <w:p w14:paraId="52B8A60F">
            <w:pPr>
              <w:widowControl/>
              <w:jc w:val="center"/>
              <w:rPr>
                <w:kern w:val="0"/>
                <w:sz w:val="18"/>
                <w:szCs w:val="18"/>
              </w:rPr>
            </w:pPr>
            <w:r>
              <w:rPr>
                <w:rFonts w:hint="eastAsia"/>
                <w:kern w:val="0"/>
                <w:sz w:val="18"/>
                <w:szCs w:val="18"/>
              </w:rPr>
              <w:t>VOCs</w:t>
            </w:r>
          </w:p>
        </w:tc>
        <w:tc>
          <w:tcPr>
            <w:tcW w:w="332" w:type="pct"/>
            <w:vAlign w:val="center"/>
          </w:tcPr>
          <w:p w14:paraId="10C77D78">
            <w:pPr>
              <w:widowControl/>
              <w:jc w:val="center"/>
              <w:rPr>
                <w:kern w:val="0"/>
                <w:sz w:val="18"/>
                <w:szCs w:val="18"/>
              </w:rPr>
            </w:pPr>
            <w:r>
              <w:rPr>
                <w:rFonts w:hint="eastAsia"/>
                <w:kern w:val="0"/>
                <w:sz w:val="18"/>
                <w:szCs w:val="18"/>
              </w:rPr>
              <w:t>/</w:t>
            </w:r>
          </w:p>
        </w:tc>
        <w:tc>
          <w:tcPr>
            <w:tcW w:w="315" w:type="pct"/>
            <w:shd w:val="clear" w:color="auto" w:fill="auto"/>
            <w:vAlign w:val="center"/>
          </w:tcPr>
          <w:p w14:paraId="50252D46">
            <w:pPr>
              <w:widowControl/>
              <w:jc w:val="center"/>
              <w:rPr>
                <w:kern w:val="0"/>
                <w:sz w:val="18"/>
                <w:szCs w:val="18"/>
              </w:rPr>
            </w:pPr>
            <w:r>
              <w:rPr>
                <w:rFonts w:hint="eastAsia"/>
                <w:kern w:val="0"/>
                <w:sz w:val="18"/>
                <w:szCs w:val="18"/>
              </w:rPr>
              <w:t>/</w:t>
            </w:r>
          </w:p>
        </w:tc>
        <w:tc>
          <w:tcPr>
            <w:tcW w:w="264" w:type="pct"/>
            <w:shd w:val="clear" w:color="auto" w:fill="auto"/>
            <w:vAlign w:val="center"/>
          </w:tcPr>
          <w:p w14:paraId="3D46B79D">
            <w:pPr>
              <w:widowControl/>
              <w:jc w:val="center"/>
              <w:rPr>
                <w:kern w:val="0"/>
                <w:sz w:val="18"/>
                <w:szCs w:val="18"/>
              </w:rPr>
            </w:pPr>
            <w:r>
              <w:rPr>
                <w:rFonts w:hint="eastAsia"/>
                <w:kern w:val="0"/>
                <w:sz w:val="18"/>
                <w:szCs w:val="18"/>
              </w:rPr>
              <w:t>/</w:t>
            </w:r>
          </w:p>
        </w:tc>
        <w:tc>
          <w:tcPr>
            <w:tcW w:w="339" w:type="pct"/>
            <w:shd w:val="clear" w:color="auto" w:fill="auto"/>
            <w:vAlign w:val="center"/>
          </w:tcPr>
          <w:p w14:paraId="5CFECC10">
            <w:pPr>
              <w:widowControl/>
              <w:jc w:val="center"/>
              <w:rPr>
                <w:kern w:val="0"/>
                <w:sz w:val="18"/>
                <w:szCs w:val="18"/>
              </w:rPr>
            </w:pPr>
            <w:r>
              <w:rPr>
                <w:rFonts w:hint="eastAsia"/>
                <w:kern w:val="0"/>
                <w:sz w:val="18"/>
                <w:szCs w:val="18"/>
              </w:rPr>
              <w:t>/</w:t>
            </w:r>
          </w:p>
        </w:tc>
        <w:tc>
          <w:tcPr>
            <w:tcW w:w="302" w:type="pct"/>
            <w:shd w:val="clear" w:color="auto" w:fill="auto"/>
            <w:vAlign w:val="center"/>
          </w:tcPr>
          <w:p w14:paraId="35E76D56">
            <w:pPr>
              <w:widowControl/>
              <w:jc w:val="center"/>
              <w:rPr>
                <w:kern w:val="0"/>
                <w:sz w:val="18"/>
                <w:szCs w:val="18"/>
              </w:rPr>
            </w:pPr>
            <w:r>
              <w:rPr>
                <w:rFonts w:hint="eastAsia"/>
                <w:kern w:val="0"/>
                <w:sz w:val="18"/>
                <w:szCs w:val="18"/>
              </w:rPr>
              <w:t>1.819</w:t>
            </w:r>
          </w:p>
        </w:tc>
        <w:tc>
          <w:tcPr>
            <w:tcW w:w="273" w:type="pct"/>
            <w:shd w:val="clear" w:color="auto" w:fill="auto"/>
            <w:vAlign w:val="center"/>
          </w:tcPr>
          <w:p w14:paraId="0A5A48D3">
            <w:pPr>
              <w:widowControl/>
              <w:jc w:val="center"/>
              <w:rPr>
                <w:kern w:val="0"/>
                <w:sz w:val="18"/>
                <w:szCs w:val="18"/>
              </w:rPr>
            </w:pPr>
            <w:r>
              <w:rPr>
                <w:rFonts w:hint="eastAsia"/>
                <w:kern w:val="0"/>
                <w:sz w:val="18"/>
                <w:szCs w:val="18"/>
              </w:rPr>
              <w:t>/</w:t>
            </w:r>
          </w:p>
        </w:tc>
        <w:tc>
          <w:tcPr>
            <w:tcW w:w="252" w:type="pct"/>
            <w:shd w:val="clear" w:color="auto" w:fill="auto"/>
            <w:vAlign w:val="center"/>
          </w:tcPr>
          <w:p w14:paraId="44A86C31">
            <w:pPr>
              <w:widowControl/>
              <w:jc w:val="center"/>
              <w:rPr>
                <w:kern w:val="0"/>
                <w:sz w:val="18"/>
                <w:szCs w:val="18"/>
              </w:rPr>
            </w:pPr>
            <w:r>
              <w:rPr>
                <w:rFonts w:hint="eastAsia"/>
                <w:kern w:val="0"/>
                <w:sz w:val="18"/>
                <w:szCs w:val="18"/>
              </w:rPr>
              <w:t>/</w:t>
            </w:r>
          </w:p>
        </w:tc>
        <w:tc>
          <w:tcPr>
            <w:tcW w:w="330" w:type="pct"/>
            <w:vAlign w:val="center"/>
          </w:tcPr>
          <w:p w14:paraId="0C4B6DB8">
            <w:pPr>
              <w:widowControl/>
              <w:jc w:val="center"/>
              <w:rPr>
                <w:kern w:val="0"/>
                <w:sz w:val="18"/>
                <w:szCs w:val="18"/>
              </w:rPr>
            </w:pPr>
            <w:r>
              <w:rPr>
                <w:rFonts w:hint="eastAsia"/>
                <w:kern w:val="0"/>
                <w:sz w:val="18"/>
                <w:szCs w:val="18"/>
              </w:rPr>
              <w:t>/</w:t>
            </w:r>
          </w:p>
        </w:tc>
        <w:tc>
          <w:tcPr>
            <w:tcW w:w="248" w:type="pct"/>
            <w:vAlign w:val="center"/>
          </w:tcPr>
          <w:p w14:paraId="44BCDE1F">
            <w:pPr>
              <w:widowControl/>
              <w:jc w:val="center"/>
              <w:rPr>
                <w:kern w:val="0"/>
                <w:sz w:val="18"/>
                <w:szCs w:val="18"/>
              </w:rPr>
            </w:pPr>
            <w:r>
              <w:rPr>
                <w:rFonts w:hint="eastAsia"/>
                <w:kern w:val="0"/>
                <w:sz w:val="18"/>
                <w:szCs w:val="18"/>
              </w:rPr>
              <w:t>/</w:t>
            </w:r>
          </w:p>
        </w:tc>
        <w:tc>
          <w:tcPr>
            <w:tcW w:w="239" w:type="pct"/>
            <w:shd w:val="clear" w:color="auto" w:fill="auto"/>
            <w:vAlign w:val="center"/>
          </w:tcPr>
          <w:p w14:paraId="1CA22088">
            <w:pPr>
              <w:widowControl/>
              <w:jc w:val="center"/>
              <w:rPr>
                <w:kern w:val="0"/>
                <w:sz w:val="18"/>
                <w:szCs w:val="18"/>
              </w:rPr>
            </w:pPr>
            <w:r>
              <w:rPr>
                <w:rFonts w:hint="eastAsia"/>
                <w:kern w:val="0"/>
                <w:sz w:val="18"/>
                <w:szCs w:val="18"/>
              </w:rPr>
              <w:t>/</w:t>
            </w:r>
          </w:p>
        </w:tc>
        <w:tc>
          <w:tcPr>
            <w:tcW w:w="281" w:type="pct"/>
            <w:shd w:val="clear" w:color="auto" w:fill="auto"/>
            <w:vAlign w:val="center"/>
          </w:tcPr>
          <w:p w14:paraId="12C6D002">
            <w:pPr>
              <w:widowControl/>
              <w:jc w:val="center"/>
              <w:rPr>
                <w:kern w:val="0"/>
                <w:sz w:val="18"/>
                <w:szCs w:val="18"/>
              </w:rPr>
            </w:pPr>
            <w:r>
              <w:rPr>
                <w:rFonts w:hint="eastAsia"/>
                <w:kern w:val="0"/>
                <w:sz w:val="18"/>
                <w:szCs w:val="18"/>
              </w:rPr>
              <w:t>/</w:t>
            </w:r>
          </w:p>
        </w:tc>
        <w:tc>
          <w:tcPr>
            <w:tcW w:w="296" w:type="pct"/>
            <w:shd w:val="clear" w:color="auto" w:fill="auto"/>
            <w:vAlign w:val="center"/>
          </w:tcPr>
          <w:p w14:paraId="7026A4F4">
            <w:pPr>
              <w:widowControl/>
              <w:jc w:val="center"/>
              <w:rPr>
                <w:kern w:val="0"/>
                <w:sz w:val="18"/>
                <w:szCs w:val="18"/>
              </w:rPr>
            </w:pPr>
            <w:r>
              <w:rPr>
                <w:rFonts w:hint="eastAsia"/>
                <w:kern w:val="0"/>
                <w:sz w:val="18"/>
                <w:szCs w:val="18"/>
              </w:rPr>
              <w:t>0.373</w:t>
            </w:r>
          </w:p>
        </w:tc>
        <w:tc>
          <w:tcPr>
            <w:tcW w:w="209" w:type="pct"/>
            <w:vAlign w:val="center"/>
          </w:tcPr>
          <w:p w14:paraId="159328BE">
            <w:pPr>
              <w:widowControl/>
              <w:jc w:val="center"/>
              <w:rPr>
                <w:kern w:val="0"/>
                <w:sz w:val="18"/>
                <w:szCs w:val="18"/>
              </w:rPr>
            </w:pPr>
            <w:r>
              <w:rPr>
                <w:rFonts w:hint="eastAsia"/>
                <w:kern w:val="0"/>
                <w:sz w:val="18"/>
                <w:szCs w:val="18"/>
              </w:rPr>
              <w:t>2400</w:t>
            </w:r>
          </w:p>
        </w:tc>
      </w:tr>
      <w:tr w14:paraId="49E88F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322" w:type="pct"/>
            <w:vMerge w:val="continue"/>
            <w:vAlign w:val="center"/>
          </w:tcPr>
          <w:p w14:paraId="040854A8">
            <w:pPr>
              <w:widowControl/>
              <w:jc w:val="center"/>
              <w:rPr>
                <w:kern w:val="0"/>
                <w:sz w:val="18"/>
                <w:szCs w:val="18"/>
              </w:rPr>
            </w:pPr>
          </w:p>
        </w:tc>
        <w:tc>
          <w:tcPr>
            <w:tcW w:w="328" w:type="pct"/>
            <w:vAlign w:val="center"/>
          </w:tcPr>
          <w:p w14:paraId="4EA46841">
            <w:pPr>
              <w:widowControl/>
              <w:jc w:val="center"/>
              <w:rPr>
                <w:kern w:val="0"/>
                <w:sz w:val="18"/>
                <w:szCs w:val="18"/>
              </w:rPr>
            </w:pPr>
            <w:r>
              <w:rPr>
                <w:rFonts w:hint="eastAsia"/>
                <w:kern w:val="0"/>
                <w:sz w:val="18"/>
                <w:szCs w:val="18"/>
              </w:rPr>
              <w:t>/</w:t>
            </w:r>
          </w:p>
        </w:tc>
        <w:tc>
          <w:tcPr>
            <w:tcW w:w="332" w:type="pct"/>
            <w:vAlign w:val="center"/>
          </w:tcPr>
          <w:p w14:paraId="14405A6F">
            <w:pPr>
              <w:widowControl/>
              <w:jc w:val="center"/>
              <w:rPr>
                <w:kern w:val="0"/>
                <w:sz w:val="18"/>
                <w:szCs w:val="18"/>
              </w:rPr>
            </w:pPr>
            <w:r>
              <w:rPr>
                <w:rFonts w:hint="eastAsia"/>
                <w:kern w:val="0"/>
                <w:sz w:val="18"/>
                <w:szCs w:val="18"/>
              </w:rPr>
              <w:t>/</w:t>
            </w:r>
          </w:p>
        </w:tc>
        <w:tc>
          <w:tcPr>
            <w:tcW w:w="332" w:type="pct"/>
            <w:vAlign w:val="center"/>
          </w:tcPr>
          <w:p w14:paraId="03DA1F7B">
            <w:pPr>
              <w:widowControl/>
              <w:jc w:val="center"/>
              <w:rPr>
                <w:kern w:val="0"/>
                <w:sz w:val="18"/>
                <w:szCs w:val="18"/>
              </w:rPr>
            </w:pPr>
            <w:r>
              <w:rPr>
                <w:rFonts w:hint="eastAsia"/>
                <w:kern w:val="0"/>
                <w:sz w:val="18"/>
                <w:szCs w:val="18"/>
              </w:rPr>
              <w:t>颗粒物</w:t>
            </w:r>
          </w:p>
        </w:tc>
        <w:tc>
          <w:tcPr>
            <w:tcW w:w="332" w:type="pct"/>
            <w:vAlign w:val="center"/>
          </w:tcPr>
          <w:p w14:paraId="61F66C47">
            <w:pPr>
              <w:widowControl/>
              <w:jc w:val="center"/>
              <w:rPr>
                <w:kern w:val="0"/>
                <w:sz w:val="18"/>
                <w:szCs w:val="18"/>
              </w:rPr>
            </w:pPr>
            <w:r>
              <w:rPr>
                <w:rFonts w:hint="eastAsia"/>
                <w:kern w:val="0"/>
                <w:sz w:val="18"/>
                <w:szCs w:val="18"/>
              </w:rPr>
              <w:t>/</w:t>
            </w:r>
          </w:p>
        </w:tc>
        <w:tc>
          <w:tcPr>
            <w:tcW w:w="315" w:type="pct"/>
            <w:shd w:val="clear" w:color="auto" w:fill="auto"/>
            <w:vAlign w:val="center"/>
          </w:tcPr>
          <w:p w14:paraId="45A4BB48">
            <w:pPr>
              <w:widowControl/>
              <w:jc w:val="center"/>
              <w:rPr>
                <w:kern w:val="0"/>
                <w:sz w:val="18"/>
                <w:szCs w:val="18"/>
              </w:rPr>
            </w:pPr>
            <w:r>
              <w:rPr>
                <w:rFonts w:hint="eastAsia"/>
                <w:kern w:val="0"/>
                <w:sz w:val="18"/>
                <w:szCs w:val="18"/>
              </w:rPr>
              <w:t>/</w:t>
            </w:r>
          </w:p>
        </w:tc>
        <w:tc>
          <w:tcPr>
            <w:tcW w:w="264" w:type="pct"/>
            <w:shd w:val="clear" w:color="auto" w:fill="auto"/>
            <w:vAlign w:val="center"/>
          </w:tcPr>
          <w:p w14:paraId="5BB18AAD">
            <w:pPr>
              <w:widowControl/>
              <w:jc w:val="center"/>
              <w:rPr>
                <w:kern w:val="0"/>
                <w:sz w:val="18"/>
                <w:szCs w:val="18"/>
              </w:rPr>
            </w:pPr>
            <w:r>
              <w:rPr>
                <w:rFonts w:hint="eastAsia"/>
                <w:kern w:val="0"/>
                <w:sz w:val="18"/>
                <w:szCs w:val="18"/>
              </w:rPr>
              <w:t>/</w:t>
            </w:r>
          </w:p>
        </w:tc>
        <w:tc>
          <w:tcPr>
            <w:tcW w:w="339" w:type="pct"/>
            <w:shd w:val="clear" w:color="auto" w:fill="auto"/>
            <w:vAlign w:val="center"/>
          </w:tcPr>
          <w:p w14:paraId="452200AA">
            <w:pPr>
              <w:widowControl/>
              <w:jc w:val="center"/>
              <w:rPr>
                <w:kern w:val="0"/>
                <w:sz w:val="18"/>
                <w:szCs w:val="18"/>
              </w:rPr>
            </w:pPr>
            <w:r>
              <w:rPr>
                <w:rFonts w:hint="eastAsia"/>
                <w:kern w:val="0"/>
                <w:sz w:val="18"/>
                <w:szCs w:val="18"/>
              </w:rPr>
              <w:t>/</w:t>
            </w:r>
          </w:p>
        </w:tc>
        <w:tc>
          <w:tcPr>
            <w:tcW w:w="302" w:type="pct"/>
            <w:shd w:val="clear" w:color="auto" w:fill="auto"/>
            <w:vAlign w:val="center"/>
          </w:tcPr>
          <w:p w14:paraId="4480503A">
            <w:pPr>
              <w:widowControl/>
              <w:jc w:val="center"/>
              <w:rPr>
                <w:kern w:val="0"/>
                <w:sz w:val="18"/>
                <w:szCs w:val="18"/>
              </w:rPr>
            </w:pPr>
            <w:r>
              <w:rPr>
                <w:rFonts w:hint="eastAsia"/>
                <w:kern w:val="0"/>
                <w:sz w:val="18"/>
                <w:szCs w:val="18"/>
              </w:rPr>
              <w:t>0.375</w:t>
            </w:r>
          </w:p>
        </w:tc>
        <w:tc>
          <w:tcPr>
            <w:tcW w:w="273" w:type="pct"/>
            <w:shd w:val="clear" w:color="auto" w:fill="auto"/>
            <w:vAlign w:val="center"/>
          </w:tcPr>
          <w:p w14:paraId="09928C14">
            <w:pPr>
              <w:widowControl/>
              <w:jc w:val="center"/>
              <w:rPr>
                <w:kern w:val="0"/>
                <w:sz w:val="18"/>
                <w:szCs w:val="18"/>
              </w:rPr>
            </w:pPr>
            <w:r>
              <w:rPr>
                <w:rFonts w:hint="eastAsia"/>
                <w:kern w:val="0"/>
                <w:sz w:val="18"/>
                <w:szCs w:val="18"/>
              </w:rPr>
              <w:t>/</w:t>
            </w:r>
          </w:p>
        </w:tc>
        <w:tc>
          <w:tcPr>
            <w:tcW w:w="252" w:type="pct"/>
            <w:shd w:val="clear" w:color="auto" w:fill="auto"/>
            <w:vAlign w:val="center"/>
          </w:tcPr>
          <w:p w14:paraId="561487EC">
            <w:pPr>
              <w:widowControl/>
              <w:jc w:val="center"/>
              <w:rPr>
                <w:kern w:val="0"/>
                <w:sz w:val="18"/>
                <w:szCs w:val="18"/>
              </w:rPr>
            </w:pPr>
            <w:r>
              <w:rPr>
                <w:rFonts w:hint="eastAsia"/>
                <w:kern w:val="0"/>
                <w:sz w:val="18"/>
                <w:szCs w:val="18"/>
              </w:rPr>
              <w:t>/</w:t>
            </w:r>
          </w:p>
        </w:tc>
        <w:tc>
          <w:tcPr>
            <w:tcW w:w="330" w:type="pct"/>
            <w:vAlign w:val="center"/>
          </w:tcPr>
          <w:p w14:paraId="6CAF4C76">
            <w:pPr>
              <w:widowControl/>
              <w:jc w:val="center"/>
              <w:rPr>
                <w:kern w:val="0"/>
                <w:sz w:val="18"/>
                <w:szCs w:val="18"/>
              </w:rPr>
            </w:pPr>
            <w:r>
              <w:rPr>
                <w:rFonts w:hint="eastAsia"/>
                <w:kern w:val="0"/>
                <w:sz w:val="18"/>
                <w:szCs w:val="18"/>
              </w:rPr>
              <w:t>/</w:t>
            </w:r>
          </w:p>
        </w:tc>
        <w:tc>
          <w:tcPr>
            <w:tcW w:w="248" w:type="pct"/>
            <w:vAlign w:val="center"/>
          </w:tcPr>
          <w:p w14:paraId="1C154201">
            <w:pPr>
              <w:widowControl/>
              <w:jc w:val="center"/>
              <w:rPr>
                <w:kern w:val="0"/>
                <w:sz w:val="18"/>
                <w:szCs w:val="18"/>
              </w:rPr>
            </w:pPr>
            <w:r>
              <w:rPr>
                <w:rFonts w:hint="eastAsia"/>
                <w:kern w:val="0"/>
                <w:sz w:val="18"/>
                <w:szCs w:val="18"/>
              </w:rPr>
              <w:t>/</w:t>
            </w:r>
          </w:p>
        </w:tc>
        <w:tc>
          <w:tcPr>
            <w:tcW w:w="239" w:type="pct"/>
            <w:shd w:val="clear" w:color="auto" w:fill="auto"/>
            <w:vAlign w:val="center"/>
          </w:tcPr>
          <w:p w14:paraId="7691F302">
            <w:pPr>
              <w:widowControl/>
              <w:jc w:val="center"/>
              <w:rPr>
                <w:kern w:val="0"/>
                <w:sz w:val="18"/>
                <w:szCs w:val="18"/>
              </w:rPr>
            </w:pPr>
            <w:r>
              <w:rPr>
                <w:rFonts w:hint="eastAsia"/>
                <w:kern w:val="0"/>
                <w:sz w:val="18"/>
                <w:szCs w:val="18"/>
              </w:rPr>
              <w:t>/</w:t>
            </w:r>
          </w:p>
        </w:tc>
        <w:tc>
          <w:tcPr>
            <w:tcW w:w="281" w:type="pct"/>
            <w:shd w:val="clear" w:color="auto" w:fill="auto"/>
            <w:vAlign w:val="center"/>
          </w:tcPr>
          <w:p w14:paraId="58247AFA">
            <w:pPr>
              <w:widowControl/>
              <w:jc w:val="center"/>
              <w:rPr>
                <w:kern w:val="0"/>
                <w:sz w:val="18"/>
                <w:szCs w:val="18"/>
              </w:rPr>
            </w:pPr>
            <w:r>
              <w:rPr>
                <w:rFonts w:hint="eastAsia"/>
                <w:kern w:val="0"/>
                <w:sz w:val="18"/>
                <w:szCs w:val="18"/>
              </w:rPr>
              <w:t>/</w:t>
            </w:r>
          </w:p>
        </w:tc>
        <w:tc>
          <w:tcPr>
            <w:tcW w:w="296" w:type="pct"/>
            <w:shd w:val="clear" w:color="auto" w:fill="auto"/>
            <w:vAlign w:val="center"/>
          </w:tcPr>
          <w:p w14:paraId="0A8EAE5A">
            <w:pPr>
              <w:widowControl/>
              <w:jc w:val="center"/>
              <w:rPr>
                <w:kern w:val="0"/>
                <w:sz w:val="18"/>
                <w:szCs w:val="18"/>
              </w:rPr>
            </w:pPr>
            <w:r>
              <w:rPr>
                <w:rFonts w:hint="eastAsia"/>
                <w:kern w:val="0"/>
                <w:sz w:val="18"/>
                <w:szCs w:val="18"/>
              </w:rPr>
              <w:t>0.078</w:t>
            </w:r>
          </w:p>
        </w:tc>
        <w:tc>
          <w:tcPr>
            <w:tcW w:w="209" w:type="pct"/>
            <w:vAlign w:val="center"/>
          </w:tcPr>
          <w:p w14:paraId="1EC36AE5">
            <w:pPr>
              <w:widowControl/>
              <w:jc w:val="center"/>
              <w:rPr>
                <w:kern w:val="0"/>
                <w:sz w:val="18"/>
                <w:szCs w:val="18"/>
              </w:rPr>
            </w:pPr>
            <w:r>
              <w:rPr>
                <w:rFonts w:hint="eastAsia"/>
                <w:kern w:val="0"/>
                <w:sz w:val="18"/>
                <w:szCs w:val="18"/>
              </w:rPr>
              <w:t>2400</w:t>
            </w:r>
          </w:p>
        </w:tc>
      </w:tr>
    </w:tbl>
    <w:p w14:paraId="79D65087">
      <w:pPr>
        <w:pStyle w:val="116"/>
        <w:numPr>
          <w:ilvl w:val="0"/>
          <w:numId w:val="0"/>
        </w:numPr>
        <w:spacing w:before="0" w:beforeLines="0"/>
        <w:jc w:val="both"/>
        <w:rPr>
          <w:sz w:val="24"/>
          <w:szCs w:val="24"/>
        </w:rPr>
        <w:sectPr>
          <w:pgSz w:w="16838" w:h="11906" w:orient="landscape"/>
          <w:pgMar w:top="1134" w:right="1418" w:bottom="1230" w:left="1418" w:header="851" w:footer="992" w:gutter="0"/>
          <w:pgNumType w:fmt="decimal"/>
          <w:cols w:space="425" w:num="1"/>
          <w:docGrid w:type="linesAndChars" w:linePitch="312" w:charSpace="0"/>
        </w:sectPr>
      </w:pPr>
      <w:r>
        <w:rPr>
          <w:rFonts w:hint="eastAsia"/>
          <w:b w:val="0"/>
        </w:rPr>
        <w:t>注：</w:t>
      </w:r>
      <w:r>
        <w:rPr>
          <w:rFonts w:hint="eastAsia"/>
          <w:b w:val="0"/>
          <w:lang w:val="en-US"/>
        </w:rPr>
        <w:t>VOCs为全厂挥发性有机物之和</w:t>
      </w:r>
      <w:r>
        <w:rPr>
          <w:rFonts w:hint="eastAsia"/>
          <w:b w:val="0"/>
        </w:rPr>
        <w:t>。</w:t>
      </w:r>
    </w:p>
    <w:p w14:paraId="2DDC573C">
      <w:pPr>
        <w:pStyle w:val="116"/>
        <w:numPr>
          <w:ilvl w:val="0"/>
          <w:numId w:val="22"/>
        </w:numPr>
        <w:spacing w:before="0" w:beforeLines="0"/>
        <w:ind w:left="0"/>
      </w:pPr>
      <w:r>
        <w:rPr>
          <w:rFonts w:hint="eastAsia"/>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1538"/>
        <w:gridCol w:w="1296"/>
        <w:gridCol w:w="1314"/>
        <w:gridCol w:w="1004"/>
        <w:gridCol w:w="855"/>
        <w:gridCol w:w="1059"/>
      </w:tblGrid>
      <w:tr w14:paraId="2B2B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379" w:type="pct"/>
            <w:vMerge w:val="restart"/>
            <w:vAlign w:val="center"/>
          </w:tcPr>
          <w:p w14:paraId="790B6CF0">
            <w:pPr>
              <w:adjustRightInd w:val="0"/>
              <w:snapToGrid w:val="0"/>
              <w:jc w:val="center"/>
              <w:rPr>
                <w:bCs/>
              </w:rPr>
            </w:pPr>
            <w:r>
              <w:rPr>
                <w:rFonts w:hint="eastAsia"/>
                <w:bCs/>
              </w:rPr>
              <w:t>排放口编号</w:t>
            </w:r>
          </w:p>
        </w:tc>
        <w:tc>
          <w:tcPr>
            <w:tcW w:w="788" w:type="pct"/>
            <w:vMerge w:val="restart"/>
            <w:vAlign w:val="center"/>
          </w:tcPr>
          <w:p w14:paraId="465F32B7">
            <w:pPr>
              <w:adjustRightInd w:val="0"/>
              <w:snapToGrid w:val="0"/>
              <w:jc w:val="center"/>
              <w:rPr>
                <w:bCs/>
              </w:rPr>
            </w:pPr>
            <w:r>
              <w:rPr>
                <w:bCs/>
              </w:rPr>
              <w:t>污染物种类</w:t>
            </w:r>
          </w:p>
        </w:tc>
        <w:tc>
          <w:tcPr>
            <w:tcW w:w="1337" w:type="pct"/>
            <w:gridSpan w:val="2"/>
            <w:vAlign w:val="center"/>
          </w:tcPr>
          <w:p w14:paraId="4D297650">
            <w:pPr>
              <w:adjustRightInd w:val="0"/>
              <w:snapToGrid w:val="0"/>
              <w:jc w:val="center"/>
              <w:rPr>
                <w:bCs/>
              </w:rPr>
            </w:pPr>
            <w:r>
              <w:rPr>
                <w:bCs/>
              </w:rPr>
              <w:t>排放值</w:t>
            </w:r>
          </w:p>
        </w:tc>
        <w:tc>
          <w:tcPr>
            <w:tcW w:w="952" w:type="pct"/>
            <w:gridSpan w:val="2"/>
            <w:vAlign w:val="center"/>
          </w:tcPr>
          <w:p w14:paraId="4AACC11D">
            <w:pPr>
              <w:adjustRightInd w:val="0"/>
              <w:snapToGrid w:val="0"/>
              <w:jc w:val="center"/>
              <w:rPr>
                <w:bCs/>
              </w:rPr>
            </w:pPr>
            <w:r>
              <w:rPr>
                <w:rFonts w:hint="eastAsia"/>
                <w:bCs/>
              </w:rPr>
              <w:t>排放标准</w:t>
            </w:r>
          </w:p>
        </w:tc>
        <w:tc>
          <w:tcPr>
            <w:tcW w:w="542" w:type="pct"/>
            <w:vMerge w:val="restart"/>
            <w:vAlign w:val="center"/>
          </w:tcPr>
          <w:p w14:paraId="60795E82">
            <w:pPr>
              <w:adjustRightInd w:val="0"/>
              <w:snapToGrid w:val="0"/>
              <w:jc w:val="center"/>
            </w:pPr>
            <w:r>
              <w:rPr>
                <w:bCs/>
              </w:rPr>
              <w:t>是否达标</w:t>
            </w:r>
          </w:p>
        </w:tc>
      </w:tr>
      <w:tr w14:paraId="6D0A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379" w:type="pct"/>
            <w:vMerge w:val="continue"/>
            <w:vAlign w:val="center"/>
          </w:tcPr>
          <w:p w14:paraId="40DD4D2A">
            <w:pPr>
              <w:adjustRightInd w:val="0"/>
              <w:snapToGrid w:val="0"/>
              <w:jc w:val="center"/>
              <w:rPr>
                <w:bCs/>
              </w:rPr>
            </w:pPr>
          </w:p>
        </w:tc>
        <w:tc>
          <w:tcPr>
            <w:tcW w:w="788" w:type="pct"/>
            <w:vMerge w:val="continue"/>
            <w:vAlign w:val="center"/>
          </w:tcPr>
          <w:p w14:paraId="04E61170">
            <w:pPr>
              <w:adjustRightInd w:val="0"/>
              <w:snapToGrid w:val="0"/>
              <w:jc w:val="center"/>
              <w:rPr>
                <w:bCs/>
              </w:rPr>
            </w:pPr>
          </w:p>
        </w:tc>
        <w:tc>
          <w:tcPr>
            <w:tcW w:w="664" w:type="pct"/>
            <w:vAlign w:val="center"/>
          </w:tcPr>
          <w:p w14:paraId="0937AC9D">
            <w:pPr>
              <w:adjustRightInd w:val="0"/>
              <w:snapToGrid w:val="0"/>
              <w:jc w:val="center"/>
              <w:rPr>
                <w:bCs/>
              </w:rPr>
            </w:pPr>
            <w:r>
              <w:rPr>
                <w:bCs/>
              </w:rPr>
              <w:t>kg/h</w:t>
            </w:r>
          </w:p>
        </w:tc>
        <w:tc>
          <w:tcPr>
            <w:tcW w:w="673" w:type="pct"/>
            <w:vAlign w:val="center"/>
          </w:tcPr>
          <w:p w14:paraId="37E5BBFB">
            <w:pPr>
              <w:adjustRightInd w:val="0"/>
              <w:snapToGrid w:val="0"/>
              <w:jc w:val="center"/>
              <w:rPr>
                <w:bCs/>
              </w:rPr>
            </w:pPr>
            <w:r>
              <w:rPr>
                <w:bCs/>
              </w:rPr>
              <w:t>mg/m³</w:t>
            </w:r>
          </w:p>
        </w:tc>
        <w:tc>
          <w:tcPr>
            <w:tcW w:w="514" w:type="pct"/>
            <w:vAlign w:val="center"/>
          </w:tcPr>
          <w:p w14:paraId="036967D3">
            <w:pPr>
              <w:adjustRightInd w:val="0"/>
              <w:snapToGrid w:val="0"/>
              <w:jc w:val="center"/>
              <w:rPr>
                <w:bCs/>
              </w:rPr>
            </w:pPr>
            <w:r>
              <w:rPr>
                <w:bCs/>
              </w:rPr>
              <w:t>kg/h</w:t>
            </w:r>
          </w:p>
        </w:tc>
        <w:tc>
          <w:tcPr>
            <w:tcW w:w="438" w:type="pct"/>
            <w:vAlign w:val="center"/>
          </w:tcPr>
          <w:p w14:paraId="7DC0C2BF">
            <w:pPr>
              <w:adjustRightInd w:val="0"/>
              <w:snapToGrid w:val="0"/>
              <w:jc w:val="center"/>
              <w:rPr>
                <w:bCs/>
              </w:rPr>
            </w:pPr>
            <w:r>
              <w:rPr>
                <w:bCs/>
              </w:rPr>
              <w:t>mg/m³</w:t>
            </w:r>
          </w:p>
        </w:tc>
        <w:tc>
          <w:tcPr>
            <w:tcW w:w="542" w:type="pct"/>
            <w:vMerge w:val="continue"/>
            <w:vAlign w:val="center"/>
          </w:tcPr>
          <w:p w14:paraId="66FC02F5">
            <w:pPr>
              <w:adjustRightInd w:val="0"/>
              <w:snapToGrid w:val="0"/>
              <w:jc w:val="center"/>
            </w:pPr>
          </w:p>
        </w:tc>
      </w:tr>
      <w:tr w14:paraId="4FBB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Merge w:val="restart"/>
            <w:vAlign w:val="center"/>
          </w:tcPr>
          <w:p w14:paraId="44441453">
            <w:pPr>
              <w:adjustRightInd w:val="0"/>
              <w:snapToGrid w:val="0"/>
              <w:jc w:val="center"/>
              <w:rPr>
                <w:bCs/>
              </w:rPr>
            </w:pPr>
            <w:r>
              <w:rPr>
                <w:rFonts w:hint="eastAsia"/>
                <w:bCs/>
              </w:rPr>
              <w:t>D</w:t>
            </w:r>
            <w:r>
              <w:rPr>
                <w:bCs/>
              </w:rPr>
              <w:t>A0</w:t>
            </w:r>
            <w:r>
              <w:rPr>
                <w:rFonts w:hint="eastAsia"/>
                <w:bCs/>
              </w:rPr>
              <w:t>01</w:t>
            </w:r>
          </w:p>
        </w:tc>
        <w:tc>
          <w:tcPr>
            <w:tcW w:w="788" w:type="pct"/>
            <w:vAlign w:val="center"/>
          </w:tcPr>
          <w:p w14:paraId="02CC8035">
            <w:pPr>
              <w:adjustRightInd w:val="0"/>
              <w:snapToGrid w:val="0"/>
              <w:jc w:val="center"/>
              <w:rPr>
                <w:bCs/>
              </w:rPr>
            </w:pPr>
            <w:r>
              <w:rPr>
                <w:rFonts w:hint="eastAsia"/>
                <w:bCs/>
              </w:rPr>
              <w:t>TVOC</w:t>
            </w:r>
          </w:p>
        </w:tc>
        <w:tc>
          <w:tcPr>
            <w:tcW w:w="664" w:type="pct"/>
            <w:vAlign w:val="center"/>
          </w:tcPr>
          <w:p w14:paraId="7A5F32BD">
            <w:pPr>
              <w:jc w:val="center"/>
              <w:rPr>
                <w:bCs/>
              </w:rPr>
            </w:pPr>
            <w:r>
              <w:rPr>
                <w:rFonts w:hint="eastAsia"/>
                <w:bCs/>
              </w:rPr>
              <w:t>0.206</w:t>
            </w:r>
          </w:p>
        </w:tc>
        <w:tc>
          <w:tcPr>
            <w:tcW w:w="673" w:type="pct"/>
            <w:vAlign w:val="center"/>
          </w:tcPr>
          <w:p w14:paraId="312A736D">
            <w:pPr>
              <w:jc w:val="center"/>
              <w:rPr>
                <w:bCs/>
              </w:rPr>
            </w:pPr>
            <w:r>
              <w:rPr>
                <w:rFonts w:hint="eastAsia"/>
                <w:bCs/>
              </w:rPr>
              <w:t>13.73</w:t>
            </w:r>
          </w:p>
        </w:tc>
        <w:tc>
          <w:tcPr>
            <w:tcW w:w="514" w:type="pct"/>
            <w:vAlign w:val="center"/>
          </w:tcPr>
          <w:p w14:paraId="449AE341">
            <w:pPr>
              <w:jc w:val="center"/>
              <w:rPr>
                <w:bCs/>
              </w:rPr>
            </w:pPr>
            <w:r>
              <w:rPr>
                <w:rFonts w:hint="eastAsia"/>
                <w:bCs/>
              </w:rPr>
              <w:t>/</w:t>
            </w:r>
          </w:p>
        </w:tc>
        <w:tc>
          <w:tcPr>
            <w:tcW w:w="438" w:type="pct"/>
            <w:vAlign w:val="center"/>
          </w:tcPr>
          <w:p w14:paraId="050D1978">
            <w:pPr>
              <w:adjustRightInd w:val="0"/>
              <w:snapToGrid w:val="0"/>
              <w:jc w:val="center"/>
              <w:rPr>
                <w:bCs/>
              </w:rPr>
            </w:pPr>
            <w:r>
              <w:rPr>
                <w:rFonts w:hint="eastAsia"/>
                <w:bCs/>
              </w:rPr>
              <w:t>120</w:t>
            </w:r>
          </w:p>
        </w:tc>
        <w:tc>
          <w:tcPr>
            <w:tcW w:w="542" w:type="pct"/>
            <w:vAlign w:val="center"/>
          </w:tcPr>
          <w:p w14:paraId="6296D6CD">
            <w:pPr>
              <w:jc w:val="center"/>
            </w:pPr>
            <w:r>
              <w:rPr>
                <w:rFonts w:hint="eastAsia"/>
              </w:rPr>
              <w:t>达标</w:t>
            </w:r>
          </w:p>
        </w:tc>
      </w:tr>
      <w:tr w14:paraId="7760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Merge w:val="continue"/>
            <w:vAlign w:val="center"/>
          </w:tcPr>
          <w:p w14:paraId="3A3BFDF1">
            <w:pPr>
              <w:adjustRightInd w:val="0"/>
              <w:snapToGrid w:val="0"/>
              <w:jc w:val="center"/>
              <w:rPr>
                <w:rFonts w:hint="eastAsia"/>
                <w:bCs/>
              </w:rPr>
            </w:pPr>
          </w:p>
        </w:tc>
        <w:tc>
          <w:tcPr>
            <w:tcW w:w="788" w:type="pct"/>
            <w:vAlign w:val="center"/>
          </w:tcPr>
          <w:p w14:paraId="119C7555">
            <w:pPr>
              <w:adjustRightInd w:val="0"/>
              <w:snapToGrid w:val="0"/>
              <w:jc w:val="center"/>
              <w:rPr>
                <w:rFonts w:hint="eastAsia" w:eastAsia="宋体"/>
                <w:bCs/>
                <w:lang w:val="en-US" w:eastAsia="zh-CN"/>
              </w:rPr>
            </w:pPr>
            <w:r>
              <w:rPr>
                <w:rFonts w:hint="eastAsia"/>
                <w:bCs/>
                <w:lang w:val="en-US" w:eastAsia="zh-CN"/>
              </w:rPr>
              <w:t>臭气浓度</w:t>
            </w:r>
          </w:p>
        </w:tc>
        <w:tc>
          <w:tcPr>
            <w:tcW w:w="664" w:type="pct"/>
            <w:vAlign w:val="center"/>
          </w:tcPr>
          <w:p w14:paraId="6088D58C">
            <w:pPr>
              <w:jc w:val="center"/>
              <w:rPr>
                <w:rFonts w:hint="eastAsia" w:eastAsia="宋体"/>
                <w:bCs/>
                <w:lang w:val="en-US" w:eastAsia="zh-CN"/>
              </w:rPr>
            </w:pPr>
            <w:r>
              <w:rPr>
                <w:rFonts w:hint="eastAsia"/>
                <w:bCs/>
                <w:lang w:val="en-US" w:eastAsia="zh-CN"/>
              </w:rPr>
              <w:t>/</w:t>
            </w:r>
          </w:p>
        </w:tc>
        <w:tc>
          <w:tcPr>
            <w:tcW w:w="673" w:type="pct"/>
            <w:vAlign w:val="center"/>
          </w:tcPr>
          <w:p w14:paraId="6ED8FA54">
            <w:pPr>
              <w:jc w:val="center"/>
              <w:rPr>
                <w:rFonts w:hint="eastAsia" w:eastAsia="宋体"/>
                <w:bCs/>
                <w:lang w:val="en-US" w:eastAsia="zh-CN"/>
              </w:rPr>
            </w:pPr>
            <w:r>
              <w:rPr>
                <w:rFonts w:hint="eastAsia"/>
                <w:bCs/>
                <w:lang w:val="en-US" w:eastAsia="zh-CN"/>
              </w:rPr>
              <w:t>/</w:t>
            </w:r>
          </w:p>
        </w:tc>
        <w:tc>
          <w:tcPr>
            <w:tcW w:w="514" w:type="pct"/>
            <w:vAlign w:val="center"/>
          </w:tcPr>
          <w:p w14:paraId="1D84A124">
            <w:pPr>
              <w:jc w:val="center"/>
              <w:rPr>
                <w:rFonts w:hint="eastAsia" w:eastAsia="宋体"/>
                <w:bCs/>
                <w:lang w:val="en-US" w:eastAsia="zh-CN"/>
              </w:rPr>
            </w:pPr>
            <w:r>
              <w:rPr>
                <w:rFonts w:hint="eastAsia"/>
                <w:bCs/>
                <w:lang w:val="en-US" w:eastAsia="zh-CN"/>
              </w:rPr>
              <w:t>/</w:t>
            </w:r>
          </w:p>
        </w:tc>
        <w:tc>
          <w:tcPr>
            <w:tcW w:w="438" w:type="pct"/>
            <w:vAlign w:val="center"/>
          </w:tcPr>
          <w:p w14:paraId="04EBD51B">
            <w:pPr>
              <w:adjustRightInd w:val="0"/>
              <w:snapToGrid w:val="0"/>
              <w:jc w:val="center"/>
              <w:rPr>
                <w:rFonts w:hint="default" w:eastAsia="宋体"/>
                <w:bCs/>
                <w:lang w:val="en-US" w:eastAsia="zh-CN"/>
              </w:rPr>
            </w:pPr>
            <w:r>
              <w:rPr>
                <w:rFonts w:hint="eastAsia"/>
                <w:bCs/>
                <w:lang w:val="en-US" w:eastAsia="zh-CN"/>
              </w:rPr>
              <w:t>1000（无量纲）</w:t>
            </w:r>
          </w:p>
        </w:tc>
        <w:tc>
          <w:tcPr>
            <w:tcW w:w="542" w:type="pct"/>
            <w:vAlign w:val="center"/>
          </w:tcPr>
          <w:p w14:paraId="358324E2">
            <w:pPr>
              <w:jc w:val="center"/>
              <w:rPr>
                <w:rFonts w:hint="eastAsia" w:eastAsia="宋体"/>
                <w:lang w:val="en-US" w:eastAsia="zh-CN"/>
              </w:rPr>
            </w:pPr>
            <w:r>
              <w:rPr>
                <w:rFonts w:hint="eastAsia"/>
                <w:lang w:val="en-US" w:eastAsia="zh-CN"/>
              </w:rPr>
              <w:t>达标</w:t>
            </w:r>
          </w:p>
        </w:tc>
      </w:tr>
    </w:tbl>
    <w:p w14:paraId="612731AC">
      <w:pPr>
        <w:adjustRightInd w:val="0"/>
        <w:snapToGrid w:val="0"/>
        <w:spacing w:line="360" w:lineRule="auto"/>
        <w:ind w:firstLine="480" w:firstLineChars="200"/>
        <w:rPr>
          <w:bCs/>
          <w:sz w:val="24"/>
          <w:szCs w:val="24"/>
        </w:rPr>
      </w:pPr>
      <w:r>
        <w:rPr>
          <w:rFonts w:hint="eastAsia"/>
          <w:bCs/>
          <w:sz w:val="24"/>
          <w:szCs w:val="24"/>
        </w:rPr>
        <w:t>根据《工业涂装工序大气污染物排放标准》（DB33/2146-2018）NMHC排放标准为排放浓度为80mg/m</w:t>
      </w:r>
      <w:r>
        <w:rPr>
          <w:rFonts w:hint="eastAsia"/>
          <w:bCs/>
          <w:sz w:val="24"/>
          <w:szCs w:val="24"/>
          <w:vertAlign w:val="superscript"/>
        </w:rPr>
        <w:t>3</w:t>
      </w:r>
      <w:r>
        <w:rPr>
          <w:rFonts w:hint="eastAsia"/>
          <w:bCs/>
          <w:sz w:val="24"/>
          <w:szCs w:val="24"/>
        </w:rPr>
        <w:t>。</w:t>
      </w:r>
      <w:r>
        <w:rPr>
          <w:bCs/>
          <w:sz w:val="24"/>
          <w:szCs w:val="24"/>
        </w:rPr>
        <w:t>从上表可知，项目</w:t>
      </w:r>
      <w:r>
        <w:rPr>
          <w:rFonts w:hint="eastAsia"/>
          <w:bCs/>
          <w:sz w:val="24"/>
          <w:szCs w:val="24"/>
        </w:rPr>
        <w:t>D</w:t>
      </w:r>
      <w:r>
        <w:rPr>
          <w:bCs/>
          <w:sz w:val="24"/>
          <w:szCs w:val="24"/>
        </w:rPr>
        <w:t>A</w:t>
      </w:r>
      <w:r>
        <w:rPr>
          <w:rFonts w:hint="eastAsia"/>
          <w:bCs/>
          <w:sz w:val="24"/>
          <w:szCs w:val="24"/>
        </w:rPr>
        <w:t>001中NMHC废气污染物满足标准限值要求。</w:t>
      </w:r>
    </w:p>
    <w:p w14:paraId="37A972A5">
      <w:pPr>
        <w:spacing w:line="360" w:lineRule="auto"/>
        <w:ind w:firstLine="480" w:firstLineChars="200"/>
        <w:rPr>
          <w:sz w:val="24"/>
          <w:szCs w:val="24"/>
        </w:rPr>
      </w:pPr>
      <w:bookmarkStart w:id="30" w:name="_Toc2457"/>
      <w:r>
        <w:rPr>
          <w:rFonts w:hint="eastAsia"/>
          <w:sz w:val="24"/>
          <w:szCs w:val="24"/>
        </w:rPr>
        <w:t>（4）可行性技术分析</w:t>
      </w:r>
      <w:bookmarkEnd w:id="30"/>
    </w:p>
    <w:p w14:paraId="7A9FF1A4">
      <w:pPr>
        <w:adjustRightInd w:val="0"/>
        <w:snapToGrid w:val="0"/>
        <w:spacing w:line="360" w:lineRule="auto"/>
        <w:ind w:firstLine="480" w:firstLineChars="200"/>
        <w:rPr>
          <w:bCs/>
          <w:sz w:val="24"/>
          <w:szCs w:val="24"/>
        </w:rPr>
      </w:pPr>
      <w:r>
        <w:rPr>
          <w:bCs/>
          <w:sz w:val="24"/>
          <w:szCs w:val="24"/>
        </w:rPr>
        <w:t>本项目</w:t>
      </w:r>
      <w:r>
        <w:rPr>
          <w:rFonts w:hint="eastAsia"/>
          <w:bCs/>
          <w:sz w:val="24"/>
          <w:szCs w:val="24"/>
        </w:rPr>
        <w:t>新增</w:t>
      </w:r>
      <w:r>
        <w:rPr>
          <w:bCs/>
          <w:sz w:val="24"/>
          <w:szCs w:val="24"/>
        </w:rPr>
        <w:t>DA0</w:t>
      </w:r>
      <w:r>
        <w:rPr>
          <w:rFonts w:hint="eastAsia"/>
          <w:bCs/>
          <w:sz w:val="24"/>
          <w:szCs w:val="24"/>
        </w:rPr>
        <w:t>01</w:t>
      </w:r>
      <w:r>
        <w:rPr>
          <w:bCs/>
          <w:sz w:val="24"/>
          <w:szCs w:val="24"/>
        </w:rPr>
        <w:t>排气筒排放废气</w:t>
      </w:r>
      <w:r>
        <w:rPr>
          <w:rFonts w:hint="eastAsia"/>
          <w:bCs/>
          <w:sz w:val="24"/>
          <w:szCs w:val="24"/>
        </w:rPr>
        <w:t>污染物</w:t>
      </w:r>
      <w:r>
        <w:rPr>
          <w:bCs/>
          <w:sz w:val="24"/>
          <w:szCs w:val="24"/>
        </w:rPr>
        <w:t>NMHC，通过</w:t>
      </w:r>
      <w:bookmarkStart w:id="31" w:name="_Hlk161921622"/>
      <w:r>
        <w:rPr>
          <w:rFonts w:hint="eastAsia"/>
          <w:bCs/>
          <w:sz w:val="24"/>
          <w:szCs w:val="24"/>
        </w:rPr>
        <w:t>“两级</w:t>
      </w:r>
      <w:r>
        <w:rPr>
          <w:bCs/>
          <w:sz w:val="24"/>
          <w:szCs w:val="24"/>
        </w:rPr>
        <w:t>活性炭</w:t>
      </w:r>
      <w:bookmarkEnd w:id="31"/>
      <w:r>
        <w:rPr>
          <w:rFonts w:hint="eastAsia"/>
          <w:bCs/>
          <w:sz w:val="24"/>
          <w:szCs w:val="24"/>
        </w:rPr>
        <w:t>”吸附装置</w:t>
      </w:r>
      <w:r>
        <w:rPr>
          <w:bCs/>
          <w:sz w:val="24"/>
          <w:szCs w:val="24"/>
        </w:rPr>
        <w:t>处理</w:t>
      </w:r>
      <w:r>
        <w:rPr>
          <w:rFonts w:hint="eastAsia"/>
          <w:bCs/>
          <w:sz w:val="24"/>
          <w:szCs w:val="24"/>
        </w:rPr>
        <w:t>。木工车间产生的下料粉尘、木制粉尘经收集后采用“袋式除尘系统”处理后车间内无组织排放。</w:t>
      </w:r>
    </w:p>
    <w:p w14:paraId="65060847">
      <w:pPr>
        <w:adjustRightInd w:val="0"/>
        <w:snapToGrid w:val="0"/>
        <w:spacing w:line="360" w:lineRule="auto"/>
        <w:ind w:firstLine="480" w:firstLineChars="200"/>
        <w:rPr>
          <w:bCs/>
          <w:sz w:val="24"/>
          <w:szCs w:val="24"/>
        </w:rPr>
      </w:pPr>
      <w:r>
        <w:rPr>
          <w:rFonts w:hint="eastAsia" w:ascii="宋体" w:hAnsi="宋体"/>
          <w:bCs/>
          <w:sz w:val="24"/>
          <w:szCs w:val="24"/>
        </w:rPr>
        <w:t>本项目</w:t>
      </w:r>
      <w:r>
        <w:rPr>
          <w:rFonts w:ascii="宋体" w:hAnsi="宋体"/>
          <w:bCs/>
          <w:sz w:val="24"/>
          <w:szCs w:val="24"/>
        </w:rPr>
        <w:t>属于</w:t>
      </w:r>
      <w:r>
        <w:rPr>
          <w:rFonts w:hint="eastAsia" w:ascii="宋体" w:hAnsi="宋体"/>
          <w:bCs/>
          <w:sz w:val="24"/>
          <w:szCs w:val="24"/>
        </w:rPr>
        <w:t>家具制造，根据</w:t>
      </w:r>
      <w:r>
        <w:rPr>
          <w:bCs/>
          <w:sz w:val="24"/>
          <w:szCs w:val="24"/>
        </w:rPr>
        <w:t>《</w:t>
      </w:r>
      <w:r>
        <w:rPr>
          <w:rFonts w:hint="eastAsia"/>
          <w:bCs/>
          <w:sz w:val="24"/>
          <w:szCs w:val="24"/>
        </w:rPr>
        <w:t>排污许可证申请与核发技术规范 家具制造工业（HJ1027—2019）</w:t>
      </w:r>
      <w:r>
        <w:rPr>
          <w:bCs/>
          <w:sz w:val="24"/>
          <w:szCs w:val="24"/>
        </w:rPr>
        <w:t>》</w:t>
      </w:r>
      <w:r>
        <w:rPr>
          <w:rFonts w:hint="eastAsia"/>
          <w:bCs/>
          <w:sz w:val="24"/>
          <w:szCs w:val="24"/>
        </w:rPr>
        <w:t>中表6废气治理可行技术参照表，</w:t>
      </w:r>
      <w:r>
        <w:rPr>
          <w:rFonts w:hint="eastAsia" w:ascii="宋体" w:hAnsi="宋体"/>
          <w:bCs/>
          <w:sz w:val="24"/>
          <w:szCs w:val="24"/>
        </w:rPr>
        <w:t>本项目各类</w:t>
      </w:r>
      <w:r>
        <w:rPr>
          <w:rFonts w:ascii="宋体" w:hAnsi="宋体"/>
          <w:bCs/>
          <w:sz w:val="24"/>
          <w:szCs w:val="24"/>
        </w:rPr>
        <w:t>废气</w:t>
      </w:r>
      <w:r>
        <w:rPr>
          <w:rFonts w:hint="eastAsia" w:ascii="宋体" w:hAnsi="宋体"/>
          <w:bCs/>
          <w:sz w:val="24"/>
          <w:szCs w:val="24"/>
        </w:rPr>
        <w:t>治理技术均属于规范中明确的可行技术。</w:t>
      </w:r>
    </w:p>
    <w:p w14:paraId="3378749E">
      <w:pPr>
        <w:spacing w:line="360" w:lineRule="auto"/>
        <w:ind w:firstLine="480" w:firstLineChars="200"/>
        <w:rPr>
          <w:sz w:val="24"/>
          <w:szCs w:val="24"/>
        </w:rPr>
      </w:pPr>
      <w:bookmarkStart w:id="32" w:name="_Toc28433"/>
      <w:r>
        <w:rPr>
          <w:rFonts w:hint="eastAsia"/>
          <w:sz w:val="24"/>
          <w:szCs w:val="24"/>
        </w:rPr>
        <w:t>（5）</w:t>
      </w:r>
      <w:r>
        <w:rPr>
          <w:sz w:val="24"/>
          <w:szCs w:val="24"/>
        </w:rPr>
        <w:t>环境影响分析</w:t>
      </w:r>
      <w:bookmarkEnd w:id="32"/>
    </w:p>
    <w:p w14:paraId="2F1EAFA9">
      <w:pPr>
        <w:spacing w:line="360" w:lineRule="auto"/>
        <w:ind w:firstLine="480" w:firstLineChars="200"/>
        <w:rPr>
          <w:sz w:val="24"/>
          <w:szCs w:val="24"/>
        </w:rPr>
      </w:pPr>
      <w:r>
        <w:rPr>
          <w:rFonts w:hint="eastAsia"/>
          <w:sz w:val="24"/>
          <w:szCs w:val="24"/>
        </w:rPr>
        <w:t>本项目采取的废气污染治理设施均为可行技术，污染物排放量不大且均可达标排放，预计项目废气正常排放对周边居民影响可接受。</w:t>
      </w:r>
    </w:p>
    <w:p w14:paraId="4745AD34">
      <w:pPr>
        <w:pStyle w:val="122"/>
        <w:ind w:firstLine="482"/>
        <w:rPr>
          <w:b/>
          <w:bCs/>
        </w:rPr>
      </w:pPr>
      <w:r>
        <w:rPr>
          <w:rFonts w:hint="eastAsia"/>
          <w:b/>
          <w:bCs/>
        </w:rPr>
        <w:t>1</w:t>
      </w:r>
      <w:r>
        <w:rPr>
          <w:b/>
          <w:bCs/>
        </w:rPr>
        <w:t>.6.2</w:t>
      </w:r>
      <w:r>
        <w:rPr>
          <w:rFonts w:hint="eastAsia"/>
          <w:b/>
          <w:bCs/>
        </w:rPr>
        <w:t>废水</w:t>
      </w:r>
    </w:p>
    <w:p w14:paraId="57127051">
      <w:pPr>
        <w:numPr>
          <w:ilvl w:val="0"/>
          <w:numId w:val="23"/>
        </w:numPr>
        <w:adjustRightInd w:val="0"/>
        <w:snapToGrid w:val="0"/>
        <w:spacing w:line="360" w:lineRule="auto"/>
        <w:ind w:firstLine="480" w:firstLineChars="200"/>
        <w:rPr>
          <w:sz w:val="24"/>
          <w:szCs w:val="24"/>
        </w:rPr>
      </w:pPr>
      <w:r>
        <w:rPr>
          <w:rFonts w:hint="eastAsia"/>
          <w:sz w:val="24"/>
          <w:szCs w:val="24"/>
        </w:rPr>
        <w:t>水帘废水</w:t>
      </w:r>
    </w:p>
    <w:p w14:paraId="796BB7C0">
      <w:pPr>
        <w:numPr>
          <w:ilvl w:val="255"/>
          <w:numId w:val="0"/>
        </w:numPr>
        <w:adjustRightInd w:val="0"/>
        <w:snapToGrid w:val="0"/>
        <w:spacing w:line="360" w:lineRule="auto"/>
        <w:ind w:firstLine="480" w:firstLineChars="200"/>
        <w:rPr>
          <w:sz w:val="24"/>
          <w:szCs w:val="24"/>
        </w:rPr>
      </w:pPr>
      <w:r>
        <w:rPr>
          <w:rFonts w:hint="eastAsia"/>
          <w:sz w:val="24"/>
          <w:szCs w:val="24"/>
        </w:rPr>
        <w:t>本项目部分产品需进行喷漆，喷漆过程采用水帘喷漆，</w:t>
      </w:r>
      <w:r>
        <w:rPr>
          <w:rFonts w:hint="eastAsia"/>
          <w:sz w:val="24"/>
          <w:szCs w:val="24"/>
          <w:lang w:eastAsia="zh-CN"/>
        </w:rPr>
        <w:t>喷枪清洗产生的废水直接倒入水帘柜中，</w:t>
      </w:r>
      <w:r>
        <w:rPr>
          <w:rFonts w:hint="eastAsia"/>
          <w:sz w:val="24"/>
          <w:szCs w:val="24"/>
          <w:lang w:val="en-US" w:eastAsia="zh-CN"/>
        </w:rPr>
        <w:t>与水帘废水一同</w:t>
      </w:r>
      <w:r>
        <w:rPr>
          <w:rFonts w:hint="eastAsia"/>
          <w:sz w:val="24"/>
          <w:szCs w:val="24"/>
        </w:rPr>
        <w:t>定期更换</w:t>
      </w:r>
      <w:r>
        <w:rPr>
          <w:rFonts w:hint="eastAsia"/>
          <w:sz w:val="24"/>
          <w:szCs w:val="24"/>
          <w:lang w:eastAsia="zh-CN"/>
        </w:rPr>
        <w:t>，</w:t>
      </w:r>
      <w:r>
        <w:rPr>
          <w:rFonts w:hint="eastAsia"/>
          <w:sz w:val="24"/>
          <w:szCs w:val="24"/>
        </w:rPr>
        <w:t>。根据企业提供资料，本项目喷漆水帘废水每月更换</w:t>
      </w:r>
      <w:r>
        <w:rPr>
          <w:rFonts w:hint="eastAsia"/>
          <w:sz w:val="24"/>
          <w:szCs w:val="24"/>
          <w:lang w:val="en-US" w:eastAsia="zh-CN"/>
        </w:rPr>
        <w:t>两</w:t>
      </w:r>
      <w:r>
        <w:rPr>
          <w:rFonts w:hint="eastAsia"/>
          <w:sz w:val="24"/>
          <w:szCs w:val="24"/>
        </w:rPr>
        <w:t>次，每次废水排放量为</w:t>
      </w:r>
      <w:r>
        <w:rPr>
          <w:rFonts w:hint="eastAsia"/>
          <w:sz w:val="24"/>
          <w:szCs w:val="24"/>
          <w:lang w:val="en-US" w:eastAsia="zh-CN"/>
        </w:rPr>
        <w:t>2</w:t>
      </w:r>
      <w:r>
        <w:rPr>
          <w:rFonts w:hint="eastAsia"/>
          <w:sz w:val="24"/>
          <w:szCs w:val="24"/>
        </w:rPr>
        <w:t>.0t/次（即</w:t>
      </w:r>
      <w:r>
        <w:rPr>
          <w:rFonts w:hint="eastAsia"/>
          <w:sz w:val="24"/>
          <w:szCs w:val="24"/>
          <w:lang w:val="en-US" w:eastAsia="zh-CN"/>
        </w:rPr>
        <w:t>48</w:t>
      </w:r>
      <w:r>
        <w:rPr>
          <w:rFonts w:hint="eastAsia"/>
          <w:sz w:val="24"/>
          <w:szCs w:val="24"/>
        </w:rPr>
        <w:t>t/a）。喷漆水帘废水产生浓度约为：pH：8.0；SS：</w:t>
      </w:r>
      <w:r>
        <w:rPr>
          <w:rFonts w:hint="eastAsia"/>
          <w:sz w:val="24"/>
          <w:szCs w:val="24"/>
          <w:lang w:val="en-US" w:eastAsia="zh-CN"/>
        </w:rPr>
        <w:t>200</w:t>
      </w:r>
      <w:r>
        <w:rPr>
          <w:rFonts w:hint="eastAsia"/>
          <w:sz w:val="24"/>
          <w:szCs w:val="24"/>
        </w:rPr>
        <w:t>mg/L；CODcr：</w:t>
      </w:r>
      <w:r>
        <w:rPr>
          <w:rFonts w:hint="eastAsia"/>
          <w:sz w:val="24"/>
          <w:szCs w:val="24"/>
          <w:lang w:val="en-US" w:eastAsia="zh-CN"/>
        </w:rPr>
        <w:t>4000</w:t>
      </w:r>
      <w:r>
        <w:rPr>
          <w:rFonts w:hint="eastAsia"/>
          <w:sz w:val="24"/>
          <w:szCs w:val="24"/>
        </w:rPr>
        <w:t>mg/L，则各污染物的产生量为CODcr：0.</w:t>
      </w:r>
      <w:r>
        <w:rPr>
          <w:rFonts w:hint="eastAsia"/>
          <w:sz w:val="24"/>
          <w:szCs w:val="24"/>
          <w:lang w:val="en-US" w:eastAsia="zh-CN"/>
        </w:rPr>
        <w:t>192</w:t>
      </w:r>
      <w:r>
        <w:rPr>
          <w:rFonts w:hint="eastAsia"/>
          <w:sz w:val="24"/>
          <w:szCs w:val="24"/>
        </w:rPr>
        <w:t>t/a；SS：0.</w:t>
      </w:r>
      <w:r>
        <w:rPr>
          <w:rFonts w:hint="eastAsia"/>
          <w:sz w:val="24"/>
          <w:szCs w:val="24"/>
          <w:lang w:val="en-US" w:eastAsia="zh-CN"/>
        </w:rPr>
        <w:t>096</w:t>
      </w:r>
      <w:r>
        <w:rPr>
          <w:rFonts w:hint="eastAsia"/>
          <w:sz w:val="24"/>
          <w:szCs w:val="24"/>
        </w:rPr>
        <w:t>t/a。水帘喷淋废水经絮凝沉淀、打捞沉渣后循环使用到不能再适合使用后，达到 GB8978-1996《污水综合排放标准》三级标准后排入污水管网。</w:t>
      </w:r>
      <w:r>
        <w:rPr>
          <w:rFonts w:hint="eastAsia"/>
          <w:sz w:val="24"/>
          <w:szCs w:val="24"/>
          <w:lang w:val="en-US" w:eastAsia="zh-CN"/>
        </w:rPr>
        <w:t>本项目使用水性漆，</w:t>
      </w:r>
      <w:r>
        <w:rPr>
          <w:rFonts w:hint="eastAsia"/>
          <w:sz w:val="24"/>
          <w:szCs w:val="24"/>
        </w:rPr>
        <w:t>捞除的漆渣属</w:t>
      </w:r>
      <w:r>
        <w:rPr>
          <w:rFonts w:hint="eastAsia"/>
          <w:sz w:val="24"/>
          <w:szCs w:val="24"/>
          <w:lang w:val="en-US" w:eastAsia="zh-CN"/>
        </w:rPr>
        <w:t>一般工业固废</w:t>
      </w:r>
      <w:r>
        <w:rPr>
          <w:rFonts w:hint="eastAsia"/>
          <w:sz w:val="24"/>
          <w:szCs w:val="24"/>
        </w:rPr>
        <w:t>，要求妥善收集后，委托具有</w:t>
      </w:r>
      <w:r>
        <w:rPr>
          <w:rFonts w:hint="eastAsia"/>
          <w:sz w:val="24"/>
          <w:szCs w:val="24"/>
          <w:lang w:val="en-US" w:eastAsia="zh-CN"/>
        </w:rPr>
        <w:t>工业固废</w:t>
      </w:r>
      <w:r>
        <w:rPr>
          <w:rFonts w:hint="eastAsia"/>
          <w:sz w:val="24"/>
          <w:szCs w:val="24"/>
        </w:rPr>
        <w:t>处理资质的单位进行处置。</w:t>
      </w:r>
    </w:p>
    <w:p w14:paraId="34754945">
      <w:pPr>
        <w:numPr>
          <w:ilvl w:val="255"/>
          <w:numId w:val="0"/>
        </w:numPr>
        <w:adjustRightInd w:val="0"/>
        <w:snapToGrid w:val="0"/>
        <w:spacing w:line="360" w:lineRule="auto"/>
        <w:ind w:firstLine="480" w:firstLineChars="200"/>
        <w:rPr>
          <w:sz w:val="24"/>
          <w:szCs w:val="24"/>
        </w:rPr>
      </w:pPr>
      <w:bookmarkStart w:id="33" w:name="_Toc25935"/>
      <w:r>
        <w:rPr>
          <w:rFonts w:hint="eastAsia"/>
          <w:sz w:val="24"/>
          <w:szCs w:val="24"/>
        </w:rPr>
        <w:t>（2）生活污水</w:t>
      </w:r>
    </w:p>
    <w:p w14:paraId="1288B41C">
      <w:pPr>
        <w:numPr>
          <w:ilvl w:val="255"/>
          <w:numId w:val="0"/>
        </w:numPr>
        <w:adjustRightInd w:val="0"/>
        <w:snapToGrid w:val="0"/>
        <w:spacing w:line="360" w:lineRule="auto"/>
        <w:ind w:firstLine="480" w:firstLineChars="200"/>
        <w:rPr>
          <w:sz w:val="24"/>
          <w:szCs w:val="24"/>
        </w:rPr>
      </w:pPr>
      <w:r>
        <w:rPr>
          <w:rFonts w:hint="eastAsia"/>
          <w:sz w:val="24"/>
          <w:szCs w:val="24"/>
        </w:rPr>
        <w:t>本项目劳动定员 25人，不设职工食堂、职工宿舍，生活用水按每人50L/d计，则用水量1.25t/d（即375t/a），排水量以用水量的85%计，则产生生活污水为 1.0625t/d（即318.75t/a）。生活污水水质参照城市生活污水水质，主要污染物及其含量一般约为CODcr：350mg/L、BOD</w:t>
      </w:r>
      <w:r>
        <w:rPr>
          <w:rFonts w:hint="eastAsia"/>
          <w:sz w:val="24"/>
          <w:szCs w:val="24"/>
          <w:vertAlign w:val="subscript"/>
        </w:rPr>
        <w:t>5</w:t>
      </w:r>
      <w:r>
        <w:rPr>
          <w:rFonts w:hint="eastAsia"/>
          <w:sz w:val="24"/>
          <w:szCs w:val="24"/>
        </w:rPr>
        <w:t>：200mg/L、SS：200mg/L、NH</w:t>
      </w:r>
      <w:r>
        <w:rPr>
          <w:rFonts w:hint="eastAsia"/>
          <w:sz w:val="24"/>
          <w:szCs w:val="24"/>
          <w:vertAlign w:val="subscript"/>
        </w:rPr>
        <w:t>3</w:t>
      </w:r>
      <w:r>
        <w:rPr>
          <w:rFonts w:hint="eastAsia"/>
          <w:sz w:val="24"/>
          <w:szCs w:val="24"/>
        </w:rPr>
        <w:t>-N：35mg/L，则产生量分别为 CODcr：0.112t/a、BOD</w:t>
      </w:r>
      <w:r>
        <w:rPr>
          <w:rFonts w:hint="eastAsia"/>
          <w:sz w:val="24"/>
          <w:szCs w:val="24"/>
          <w:vertAlign w:val="subscript"/>
        </w:rPr>
        <w:t>5</w:t>
      </w:r>
      <w:r>
        <w:rPr>
          <w:rFonts w:hint="eastAsia"/>
          <w:sz w:val="24"/>
          <w:szCs w:val="24"/>
        </w:rPr>
        <w:t>：0.06375t/a、SS：0.06375t/a、NH</w:t>
      </w:r>
      <w:r>
        <w:rPr>
          <w:rFonts w:hint="eastAsia"/>
          <w:sz w:val="24"/>
          <w:szCs w:val="24"/>
          <w:vertAlign w:val="subscript"/>
        </w:rPr>
        <w:t>3</w:t>
      </w:r>
      <w:r>
        <w:rPr>
          <w:rFonts w:hint="eastAsia"/>
          <w:sz w:val="24"/>
          <w:szCs w:val="24"/>
        </w:rPr>
        <w:t>-N：0.011t/a。生活污水中冲厕废水经化粪池预处理达到《污水综合排放标准》（GB8978-1996）中的三级标准后排入污水管网。</w:t>
      </w:r>
    </w:p>
    <w:bookmarkEnd w:id="33"/>
    <w:p w14:paraId="21725A0F">
      <w:pPr>
        <w:adjustRightInd w:val="0"/>
        <w:snapToGrid w:val="0"/>
        <w:spacing w:line="360" w:lineRule="auto"/>
        <w:ind w:firstLine="480" w:firstLineChars="200"/>
        <w:rPr>
          <w:sz w:val="24"/>
          <w:szCs w:val="24"/>
        </w:rPr>
      </w:pPr>
      <w:r>
        <w:rPr>
          <w:rFonts w:hint="eastAsia"/>
          <w:sz w:val="24"/>
          <w:szCs w:val="24"/>
        </w:rPr>
        <w:t>（3）废水产生量汇总</w:t>
      </w:r>
    </w:p>
    <w:p w14:paraId="3AF5BAA8">
      <w:pPr>
        <w:adjustRightInd w:val="0"/>
        <w:snapToGrid w:val="0"/>
        <w:spacing w:line="360" w:lineRule="auto"/>
        <w:ind w:firstLine="480" w:firstLineChars="200"/>
        <w:rPr>
          <w:sz w:val="24"/>
          <w:szCs w:val="24"/>
        </w:rPr>
      </w:pPr>
      <w:r>
        <w:rPr>
          <w:rFonts w:hint="eastAsia"/>
          <w:sz w:val="24"/>
          <w:szCs w:val="24"/>
        </w:rPr>
        <w:t>根据前述分析结果核算，项目各类废水及其污染物实际产排情况见下表。</w:t>
      </w:r>
    </w:p>
    <w:p w14:paraId="00068445">
      <w:pPr>
        <w:adjustRightInd w:val="0"/>
        <w:snapToGrid w:val="0"/>
        <w:spacing w:line="360" w:lineRule="auto"/>
        <w:jc w:val="center"/>
        <w:rPr>
          <w:b/>
          <w:bCs/>
          <w:spacing w:val="-10"/>
        </w:rPr>
      </w:pPr>
      <w:r>
        <w:rPr>
          <w:rFonts w:hint="eastAsia"/>
          <w:b/>
          <w:bCs/>
          <w:spacing w:val="-10"/>
        </w:rPr>
        <w:t xml:space="preserve">表13       </w:t>
      </w:r>
      <w:r>
        <w:rPr>
          <w:b/>
          <w:bCs/>
          <w:spacing w:val="-10"/>
        </w:rPr>
        <w:t>项目废水产生及排放源强</w:t>
      </w:r>
    </w:p>
    <w:tbl>
      <w:tblPr>
        <w:tblStyle w:val="88"/>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4"/>
        <w:gridCol w:w="1731"/>
        <w:gridCol w:w="1626"/>
        <w:gridCol w:w="1522"/>
        <w:gridCol w:w="1515"/>
        <w:gridCol w:w="1298"/>
        <w:gridCol w:w="1286"/>
      </w:tblGrid>
      <w:tr w14:paraId="0711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20" w:type="pct"/>
            <w:vMerge w:val="restart"/>
            <w:noWrap/>
            <w:tcMar>
              <w:top w:w="0" w:type="dxa"/>
              <w:left w:w="57" w:type="dxa"/>
              <w:bottom w:w="0" w:type="dxa"/>
              <w:right w:w="57" w:type="dxa"/>
            </w:tcMar>
            <w:vAlign w:val="center"/>
          </w:tcPr>
          <w:p w14:paraId="150CF840">
            <w:pPr>
              <w:widowControl/>
              <w:jc w:val="center"/>
              <w:rPr>
                <w:bCs/>
                <w:kern w:val="0"/>
              </w:rPr>
            </w:pPr>
            <w:r>
              <w:rPr>
                <w:rFonts w:hint="eastAsia"/>
                <w:bCs/>
                <w:kern w:val="0"/>
              </w:rPr>
              <w:t>序号</w:t>
            </w:r>
          </w:p>
        </w:tc>
        <w:tc>
          <w:tcPr>
            <w:tcW w:w="902" w:type="pct"/>
            <w:vMerge w:val="restart"/>
            <w:noWrap/>
            <w:tcMar>
              <w:top w:w="0" w:type="dxa"/>
              <w:left w:w="57" w:type="dxa"/>
              <w:bottom w:w="0" w:type="dxa"/>
              <w:right w:w="57" w:type="dxa"/>
            </w:tcMar>
            <w:vAlign w:val="center"/>
          </w:tcPr>
          <w:p w14:paraId="2D9C7709">
            <w:pPr>
              <w:widowControl/>
              <w:jc w:val="center"/>
              <w:rPr>
                <w:bCs/>
                <w:kern w:val="0"/>
              </w:rPr>
            </w:pPr>
            <w:r>
              <w:rPr>
                <w:rFonts w:hint="eastAsia"/>
                <w:bCs/>
                <w:kern w:val="0"/>
              </w:rPr>
              <w:t>废水种类</w:t>
            </w:r>
          </w:p>
        </w:tc>
        <w:tc>
          <w:tcPr>
            <w:tcW w:w="847" w:type="pct"/>
            <w:noWrap/>
            <w:tcMar>
              <w:top w:w="0" w:type="dxa"/>
              <w:left w:w="57" w:type="dxa"/>
              <w:bottom w:w="0" w:type="dxa"/>
              <w:right w:w="57" w:type="dxa"/>
            </w:tcMar>
            <w:vAlign w:val="center"/>
          </w:tcPr>
          <w:p w14:paraId="668F55D9">
            <w:pPr>
              <w:widowControl/>
              <w:jc w:val="center"/>
              <w:rPr>
                <w:bCs/>
                <w:kern w:val="0"/>
              </w:rPr>
            </w:pPr>
            <w:r>
              <w:rPr>
                <w:rFonts w:hint="eastAsia"/>
                <w:bCs/>
                <w:kern w:val="0"/>
              </w:rPr>
              <w:t>水量</w:t>
            </w:r>
          </w:p>
        </w:tc>
        <w:tc>
          <w:tcPr>
            <w:tcW w:w="793" w:type="pct"/>
            <w:noWrap/>
            <w:tcMar>
              <w:top w:w="0" w:type="dxa"/>
              <w:left w:w="57" w:type="dxa"/>
              <w:bottom w:w="0" w:type="dxa"/>
              <w:right w:w="57" w:type="dxa"/>
            </w:tcMar>
            <w:vAlign w:val="center"/>
          </w:tcPr>
          <w:p w14:paraId="23DD5BB2">
            <w:pPr>
              <w:widowControl/>
              <w:jc w:val="center"/>
              <w:rPr>
                <w:bCs/>
                <w:kern w:val="0"/>
              </w:rPr>
            </w:pPr>
            <w:r>
              <w:rPr>
                <w:rFonts w:hint="eastAsia"/>
                <w:bCs/>
                <w:kern w:val="0"/>
              </w:rPr>
              <w:t>CODcr</w:t>
            </w:r>
          </w:p>
        </w:tc>
        <w:tc>
          <w:tcPr>
            <w:tcW w:w="789" w:type="pct"/>
            <w:noWrap/>
            <w:tcMar>
              <w:top w:w="0" w:type="dxa"/>
              <w:left w:w="57" w:type="dxa"/>
              <w:bottom w:w="0" w:type="dxa"/>
              <w:right w:w="57" w:type="dxa"/>
            </w:tcMar>
            <w:vAlign w:val="center"/>
          </w:tcPr>
          <w:p w14:paraId="7E138AC9">
            <w:pPr>
              <w:widowControl/>
              <w:jc w:val="center"/>
              <w:rPr>
                <w:bCs/>
                <w:kern w:val="0"/>
              </w:rPr>
            </w:pPr>
            <w:r>
              <w:rPr>
                <w:rFonts w:hint="eastAsia"/>
                <w:bCs/>
                <w:kern w:val="0"/>
              </w:rPr>
              <w:t>氨氮</w:t>
            </w:r>
          </w:p>
        </w:tc>
        <w:tc>
          <w:tcPr>
            <w:tcW w:w="676" w:type="pct"/>
            <w:noWrap/>
            <w:tcMar>
              <w:top w:w="0" w:type="dxa"/>
              <w:left w:w="57" w:type="dxa"/>
              <w:bottom w:w="0" w:type="dxa"/>
              <w:right w:w="57" w:type="dxa"/>
            </w:tcMar>
            <w:vAlign w:val="center"/>
          </w:tcPr>
          <w:p w14:paraId="4EC03A07">
            <w:pPr>
              <w:widowControl/>
              <w:jc w:val="center"/>
              <w:rPr>
                <w:bCs/>
                <w:kern w:val="0"/>
              </w:rPr>
            </w:pPr>
            <w:r>
              <w:rPr>
                <w:rFonts w:hint="eastAsia"/>
                <w:bCs/>
                <w:kern w:val="0"/>
              </w:rPr>
              <w:t>BOD</w:t>
            </w:r>
            <w:r>
              <w:rPr>
                <w:rFonts w:hint="eastAsia"/>
                <w:bCs/>
                <w:kern w:val="0"/>
                <w:vertAlign w:val="subscript"/>
              </w:rPr>
              <w:t>5</w:t>
            </w:r>
          </w:p>
        </w:tc>
        <w:tc>
          <w:tcPr>
            <w:tcW w:w="670" w:type="pct"/>
            <w:vAlign w:val="center"/>
          </w:tcPr>
          <w:p w14:paraId="3F7F05DF">
            <w:pPr>
              <w:widowControl/>
              <w:jc w:val="center"/>
              <w:rPr>
                <w:bCs/>
                <w:kern w:val="0"/>
              </w:rPr>
            </w:pPr>
            <w:r>
              <w:rPr>
                <w:rFonts w:hint="eastAsia"/>
                <w:bCs/>
                <w:kern w:val="0"/>
              </w:rPr>
              <w:t>SS</w:t>
            </w:r>
          </w:p>
        </w:tc>
      </w:tr>
      <w:tr w14:paraId="1291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20" w:type="pct"/>
            <w:vMerge w:val="continue"/>
            <w:vAlign w:val="center"/>
          </w:tcPr>
          <w:p w14:paraId="32866024">
            <w:pPr>
              <w:widowControl/>
              <w:jc w:val="center"/>
              <w:rPr>
                <w:bCs/>
                <w:kern w:val="0"/>
              </w:rPr>
            </w:pPr>
          </w:p>
        </w:tc>
        <w:tc>
          <w:tcPr>
            <w:tcW w:w="902" w:type="pct"/>
            <w:vMerge w:val="continue"/>
            <w:vAlign w:val="center"/>
          </w:tcPr>
          <w:p w14:paraId="68230A03">
            <w:pPr>
              <w:widowControl/>
              <w:jc w:val="center"/>
              <w:rPr>
                <w:bCs/>
                <w:kern w:val="0"/>
              </w:rPr>
            </w:pPr>
          </w:p>
        </w:tc>
        <w:tc>
          <w:tcPr>
            <w:tcW w:w="847" w:type="pct"/>
            <w:noWrap/>
            <w:tcMar>
              <w:top w:w="0" w:type="dxa"/>
              <w:left w:w="57" w:type="dxa"/>
              <w:bottom w:w="0" w:type="dxa"/>
              <w:right w:w="57" w:type="dxa"/>
            </w:tcMar>
            <w:vAlign w:val="center"/>
          </w:tcPr>
          <w:p w14:paraId="2343F320">
            <w:pPr>
              <w:widowControl/>
              <w:jc w:val="center"/>
              <w:rPr>
                <w:bCs/>
                <w:kern w:val="0"/>
              </w:rPr>
            </w:pPr>
            <w:r>
              <w:rPr>
                <w:rFonts w:hint="eastAsia"/>
                <w:bCs/>
                <w:kern w:val="0"/>
              </w:rPr>
              <w:t>t/a</w:t>
            </w:r>
          </w:p>
        </w:tc>
        <w:tc>
          <w:tcPr>
            <w:tcW w:w="793" w:type="pct"/>
            <w:noWrap/>
            <w:tcMar>
              <w:top w:w="0" w:type="dxa"/>
              <w:left w:w="57" w:type="dxa"/>
              <w:bottom w:w="0" w:type="dxa"/>
              <w:right w:w="57" w:type="dxa"/>
            </w:tcMar>
            <w:vAlign w:val="center"/>
          </w:tcPr>
          <w:p w14:paraId="00D2EAE5">
            <w:pPr>
              <w:widowControl/>
              <w:jc w:val="center"/>
              <w:rPr>
                <w:bCs/>
                <w:kern w:val="0"/>
              </w:rPr>
            </w:pPr>
            <w:r>
              <w:rPr>
                <w:rFonts w:hint="eastAsia"/>
                <w:bCs/>
                <w:kern w:val="0"/>
              </w:rPr>
              <w:t>t/a</w:t>
            </w:r>
          </w:p>
        </w:tc>
        <w:tc>
          <w:tcPr>
            <w:tcW w:w="789" w:type="pct"/>
            <w:noWrap/>
            <w:tcMar>
              <w:top w:w="0" w:type="dxa"/>
              <w:left w:w="57" w:type="dxa"/>
              <w:bottom w:w="0" w:type="dxa"/>
              <w:right w:w="57" w:type="dxa"/>
            </w:tcMar>
            <w:vAlign w:val="center"/>
          </w:tcPr>
          <w:p w14:paraId="368A059E">
            <w:pPr>
              <w:widowControl/>
              <w:jc w:val="center"/>
              <w:rPr>
                <w:bCs/>
                <w:kern w:val="0"/>
              </w:rPr>
            </w:pPr>
            <w:r>
              <w:rPr>
                <w:rFonts w:hint="eastAsia"/>
                <w:bCs/>
                <w:kern w:val="0"/>
              </w:rPr>
              <w:t>t/a</w:t>
            </w:r>
          </w:p>
        </w:tc>
        <w:tc>
          <w:tcPr>
            <w:tcW w:w="676" w:type="pct"/>
            <w:noWrap/>
            <w:tcMar>
              <w:top w:w="0" w:type="dxa"/>
              <w:left w:w="57" w:type="dxa"/>
              <w:bottom w:w="0" w:type="dxa"/>
              <w:right w:w="57" w:type="dxa"/>
            </w:tcMar>
            <w:vAlign w:val="center"/>
          </w:tcPr>
          <w:p w14:paraId="6806619A">
            <w:pPr>
              <w:widowControl/>
              <w:jc w:val="center"/>
              <w:rPr>
                <w:bCs/>
                <w:kern w:val="0"/>
              </w:rPr>
            </w:pPr>
            <w:r>
              <w:rPr>
                <w:rFonts w:hint="eastAsia"/>
                <w:bCs/>
                <w:kern w:val="0"/>
              </w:rPr>
              <w:t>t/a</w:t>
            </w:r>
          </w:p>
        </w:tc>
        <w:tc>
          <w:tcPr>
            <w:tcW w:w="670" w:type="pct"/>
            <w:vAlign w:val="center"/>
          </w:tcPr>
          <w:p w14:paraId="57DB4921">
            <w:pPr>
              <w:widowControl/>
              <w:jc w:val="center"/>
              <w:rPr>
                <w:bCs/>
                <w:kern w:val="0"/>
              </w:rPr>
            </w:pPr>
            <w:r>
              <w:rPr>
                <w:rFonts w:hint="eastAsia"/>
                <w:bCs/>
                <w:kern w:val="0"/>
              </w:rPr>
              <w:t>t/a</w:t>
            </w:r>
          </w:p>
        </w:tc>
      </w:tr>
      <w:tr w14:paraId="670D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20" w:type="pct"/>
            <w:vAlign w:val="center"/>
          </w:tcPr>
          <w:p w14:paraId="6DDC0F68">
            <w:pPr>
              <w:widowControl/>
              <w:jc w:val="center"/>
              <w:rPr>
                <w:bCs/>
                <w:kern w:val="0"/>
              </w:rPr>
            </w:pPr>
            <w:r>
              <w:rPr>
                <w:rFonts w:hint="eastAsia"/>
                <w:bCs/>
                <w:kern w:val="0"/>
              </w:rPr>
              <w:t>1</w:t>
            </w:r>
          </w:p>
        </w:tc>
        <w:tc>
          <w:tcPr>
            <w:tcW w:w="902" w:type="pct"/>
            <w:vAlign w:val="center"/>
          </w:tcPr>
          <w:p w14:paraId="2E47FBA6">
            <w:pPr>
              <w:widowControl/>
              <w:jc w:val="center"/>
              <w:rPr>
                <w:bCs/>
                <w:color w:val="FF0000"/>
                <w:kern w:val="0"/>
              </w:rPr>
            </w:pPr>
            <w:r>
              <w:rPr>
                <w:rFonts w:hint="eastAsia"/>
                <w:bCs/>
                <w:color w:val="FF0000"/>
                <w:kern w:val="0"/>
              </w:rPr>
              <w:t>水帘喷淋废水</w:t>
            </w:r>
          </w:p>
        </w:tc>
        <w:tc>
          <w:tcPr>
            <w:tcW w:w="847" w:type="pct"/>
            <w:noWrap/>
            <w:tcMar>
              <w:top w:w="0" w:type="dxa"/>
              <w:left w:w="57" w:type="dxa"/>
              <w:bottom w:w="0" w:type="dxa"/>
              <w:right w:w="57" w:type="dxa"/>
            </w:tcMar>
            <w:vAlign w:val="center"/>
          </w:tcPr>
          <w:p w14:paraId="1A8DD451">
            <w:pPr>
              <w:widowControl/>
              <w:jc w:val="center"/>
              <w:rPr>
                <w:rFonts w:hint="default" w:eastAsia="宋体"/>
                <w:bCs/>
                <w:color w:val="FF0000"/>
                <w:kern w:val="0"/>
                <w:lang w:val="en-US" w:eastAsia="zh-CN"/>
              </w:rPr>
            </w:pPr>
            <w:r>
              <w:rPr>
                <w:rFonts w:hint="eastAsia"/>
                <w:bCs/>
                <w:color w:val="FF0000"/>
                <w:kern w:val="0"/>
                <w:lang w:val="en-US" w:eastAsia="zh-CN"/>
              </w:rPr>
              <w:t>48</w:t>
            </w:r>
          </w:p>
        </w:tc>
        <w:tc>
          <w:tcPr>
            <w:tcW w:w="793" w:type="pct"/>
            <w:noWrap/>
            <w:tcMar>
              <w:top w:w="0" w:type="dxa"/>
              <w:left w:w="57" w:type="dxa"/>
              <w:bottom w:w="0" w:type="dxa"/>
              <w:right w:w="57" w:type="dxa"/>
            </w:tcMar>
            <w:vAlign w:val="center"/>
          </w:tcPr>
          <w:p w14:paraId="4E16E611">
            <w:pPr>
              <w:widowControl/>
              <w:jc w:val="center"/>
              <w:rPr>
                <w:rFonts w:hint="default" w:eastAsia="宋体"/>
                <w:bCs/>
                <w:color w:val="FF0000"/>
                <w:kern w:val="0"/>
                <w:lang w:val="en-US" w:eastAsia="zh-CN"/>
              </w:rPr>
            </w:pPr>
            <w:r>
              <w:rPr>
                <w:rFonts w:hint="eastAsia"/>
                <w:bCs/>
                <w:color w:val="FF0000"/>
                <w:kern w:val="0"/>
                <w:lang w:val="en-US" w:eastAsia="zh-CN"/>
              </w:rPr>
              <w:t>0.192</w:t>
            </w:r>
          </w:p>
        </w:tc>
        <w:tc>
          <w:tcPr>
            <w:tcW w:w="789" w:type="pct"/>
            <w:noWrap/>
            <w:tcMar>
              <w:top w:w="0" w:type="dxa"/>
              <w:left w:w="57" w:type="dxa"/>
              <w:bottom w:w="0" w:type="dxa"/>
              <w:right w:w="57" w:type="dxa"/>
            </w:tcMar>
            <w:vAlign w:val="center"/>
          </w:tcPr>
          <w:p w14:paraId="5F84EE52">
            <w:pPr>
              <w:widowControl/>
              <w:jc w:val="center"/>
              <w:rPr>
                <w:bCs/>
                <w:color w:val="FF0000"/>
                <w:kern w:val="0"/>
              </w:rPr>
            </w:pPr>
            <w:r>
              <w:rPr>
                <w:rFonts w:hint="eastAsia"/>
                <w:bCs/>
                <w:color w:val="FF0000"/>
                <w:kern w:val="0"/>
              </w:rPr>
              <w:t>--</w:t>
            </w:r>
          </w:p>
        </w:tc>
        <w:tc>
          <w:tcPr>
            <w:tcW w:w="676" w:type="pct"/>
            <w:noWrap/>
            <w:tcMar>
              <w:top w:w="0" w:type="dxa"/>
              <w:left w:w="57" w:type="dxa"/>
              <w:bottom w:w="0" w:type="dxa"/>
              <w:right w:w="57" w:type="dxa"/>
            </w:tcMar>
            <w:vAlign w:val="center"/>
          </w:tcPr>
          <w:p w14:paraId="09B798F5">
            <w:pPr>
              <w:widowControl/>
              <w:jc w:val="center"/>
              <w:rPr>
                <w:bCs/>
                <w:color w:val="FF0000"/>
                <w:kern w:val="0"/>
              </w:rPr>
            </w:pPr>
            <w:r>
              <w:rPr>
                <w:rFonts w:hint="eastAsia"/>
                <w:bCs/>
                <w:color w:val="FF0000"/>
                <w:kern w:val="0"/>
              </w:rPr>
              <w:t>--</w:t>
            </w:r>
          </w:p>
        </w:tc>
        <w:tc>
          <w:tcPr>
            <w:tcW w:w="670" w:type="pct"/>
            <w:vAlign w:val="center"/>
          </w:tcPr>
          <w:p w14:paraId="6373A852">
            <w:pPr>
              <w:widowControl/>
              <w:jc w:val="center"/>
              <w:rPr>
                <w:rFonts w:hint="default" w:eastAsia="宋体"/>
                <w:bCs/>
                <w:color w:val="FF0000"/>
                <w:kern w:val="0"/>
                <w:lang w:val="en-US" w:eastAsia="zh-CN"/>
              </w:rPr>
            </w:pPr>
            <w:r>
              <w:rPr>
                <w:rFonts w:hint="eastAsia"/>
                <w:bCs/>
                <w:color w:val="FF0000"/>
                <w:kern w:val="0"/>
                <w:lang w:val="en-US" w:eastAsia="zh-CN"/>
              </w:rPr>
              <w:t>0.096</w:t>
            </w:r>
          </w:p>
        </w:tc>
      </w:tr>
      <w:tr w14:paraId="0D8E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20" w:type="pct"/>
            <w:shd w:val="clear" w:color="auto" w:fill="auto"/>
            <w:vAlign w:val="center"/>
          </w:tcPr>
          <w:p w14:paraId="04CD31EC">
            <w:pPr>
              <w:widowControl/>
              <w:jc w:val="center"/>
              <w:rPr>
                <w:bCs/>
                <w:kern w:val="0"/>
              </w:rPr>
            </w:pPr>
            <w:r>
              <w:rPr>
                <w:rFonts w:hint="eastAsia"/>
                <w:bCs/>
                <w:kern w:val="0"/>
              </w:rPr>
              <w:t>2</w:t>
            </w:r>
          </w:p>
        </w:tc>
        <w:tc>
          <w:tcPr>
            <w:tcW w:w="902" w:type="pct"/>
            <w:shd w:val="clear" w:color="auto" w:fill="auto"/>
            <w:vAlign w:val="center"/>
          </w:tcPr>
          <w:p w14:paraId="4F00EFD1">
            <w:pPr>
              <w:widowControl/>
              <w:jc w:val="center"/>
              <w:rPr>
                <w:bCs/>
                <w:kern w:val="0"/>
              </w:rPr>
            </w:pPr>
            <w:r>
              <w:rPr>
                <w:rFonts w:hint="eastAsia"/>
                <w:bCs/>
                <w:kern w:val="0"/>
              </w:rPr>
              <w:t>生活污水</w:t>
            </w:r>
          </w:p>
        </w:tc>
        <w:tc>
          <w:tcPr>
            <w:tcW w:w="847" w:type="pct"/>
            <w:shd w:val="clear" w:color="auto" w:fill="auto"/>
            <w:noWrap/>
            <w:tcMar>
              <w:top w:w="0" w:type="dxa"/>
              <w:left w:w="57" w:type="dxa"/>
              <w:bottom w:w="0" w:type="dxa"/>
              <w:right w:w="57" w:type="dxa"/>
            </w:tcMar>
            <w:vAlign w:val="center"/>
          </w:tcPr>
          <w:p w14:paraId="71FD10E5">
            <w:pPr>
              <w:widowControl/>
              <w:jc w:val="center"/>
              <w:rPr>
                <w:bCs/>
                <w:kern w:val="0"/>
              </w:rPr>
            </w:pPr>
            <w:r>
              <w:rPr>
                <w:rFonts w:hint="eastAsia"/>
                <w:bCs/>
                <w:kern w:val="0"/>
              </w:rPr>
              <w:t>318.75</w:t>
            </w:r>
          </w:p>
        </w:tc>
        <w:tc>
          <w:tcPr>
            <w:tcW w:w="793" w:type="pct"/>
            <w:shd w:val="clear" w:color="auto" w:fill="auto"/>
            <w:noWrap/>
            <w:tcMar>
              <w:top w:w="0" w:type="dxa"/>
              <w:left w:w="57" w:type="dxa"/>
              <w:bottom w:w="0" w:type="dxa"/>
              <w:right w:w="57" w:type="dxa"/>
            </w:tcMar>
            <w:vAlign w:val="center"/>
          </w:tcPr>
          <w:p w14:paraId="147E1795">
            <w:pPr>
              <w:widowControl/>
              <w:jc w:val="center"/>
              <w:rPr>
                <w:bCs/>
                <w:kern w:val="0"/>
              </w:rPr>
            </w:pPr>
            <w:r>
              <w:rPr>
                <w:rFonts w:hint="eastAsia"/>
                <w:bCs/>
                <w:kern w:val="0"/>
              </w:rPr>
              <w:t>0.1275</w:t>
            </w:r>
          </w:p>
        </w:tc>
        <w:tc>
          <w:tcPr>
            <w:tcW w:w="789" w:type="pct"/>
            <w:shd w:val="clear" w:color="auto" w:fill="auto"/>
            <w:noWrap/>
            <w:tcMar>
              <w:top w:w="0" w:type="dxa"/>
              <w:left w:w="57" w:type="dxa"/>
              <w:bottom w:w="0" w:type="dxa"/>
              <w:right w:w="57" w:type="dxa"/>
            </w:tcMar>
            <w:vAlign w:val="center"/>
          </w:tcPr>
          <w:p w14:paraId="445B624E">
            <w:pPr>
              <w:widowControl/>
              <w:jc w:val="center"/>
              <w:rPr>
                <w:bCs/>
                <w:kern w:val="0"/>
              </w:rPr>
            </w:pPr>
            <w:r>
              <w:rPr>
                <w:rFonts w:hint="eastAsia"/>
                <w:bCs/>
                <w:kern w:val="0"/>
              </w:rPr>
              <w:t>0.00956</w:t>
            </w:r>
          </w:p>
        </w:tc>
        <w:tc>
          <w:tcPr>
            <w:tcW w:w="676" w:type="pct"/>
            <w:shd w:val="clear" w:color="auto" w:fill="auto"/>
            <w:noWrap/>
            <w:tcMar>
              <w:top w:w="0" w:type="dxa"/>
              <w:left w:w="57" w:type="dxa"/>
              <w:bottom w:w="0" w:type="dxa"/>
              <w:right w:w="57" w:type="dxa"/>
            </w:tcMar>
            <w:vAlign w:val="center"/>
          </w:tcPr>
          <w:p w14:paraId="00D72680">
            <w:pPr>
              <w:widowControl/>
              <w:jc w:val="center"/>
              <w:rPr>
                <w:bCs/>
                <w:kern w:val="0"/>
              </w:rPr>
            </w:pPr>
            <w:r>
              <w:rPr>
                <w:rFonts w:hint="eastAsia"/>
                <w:bCs/>
                <w:kern w:val="0"/>
              </w:rPr>
              <w:t>0.06375</w:t>
            </w:r>
          </w:p>
        </w:tc>
        <w:tc>
          <w:tcPr>
            <w:tcW w:w="670" w:type="pct"/>
            <w:shd w:val="clear" w:color="auto" w:fill="auto"/>
            <w:vAlign w:val="center"/>
          </w:tcPr>
          <w:p w14:paraId="58ECC002">
            <w:pPr>
              <w:widowControl/>
              <w:jc w:val="center"/>
              <w:rPr>
                <w:bCs/>
                <w:kern w:val="0"/>
              </w:rPr>
            </w:pPr>
            <w:r>
              <w:rPr>
                <w:rFonts w:hint="eastAsia"/>
                <w:bCs/>
                <w:kern w:val="0"/>
              </w:rPr>
              <w:t>0.06375</w:t>
            </w:r>
          </w:p>
        </w:tc>
      </w:tr>
      <w:tr w14:paraId="220A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20" w:type="pct"/>
            <w:shd w:val="clear" w:color="auto" w:fill="auto"/>
            <w:vAlign w:val="center"/>
          </w:tcPr>
          <w:p w14:paraId="41F8DA3B">
            <w:pPr>
              <w:widowControl/>
              <w:jc w:val="center"/>
              <w:rPr>
                <w:bCs/>
                <w:kern w:val="0"/>
              </w:rPr>
            </w:pPr>
            <w:r>
              <w:rPr>
                <w:rFonts w:hint="eastAsia"/>
                <w:bCs/>
                <w:kern w:val="0"/>
              </w:rPr>
              <w:t>3</w:t>
            </w:r>
          </w:p>
        </w:tc>
        <w:tc>
          <w:tcPr>
            <w:tcW w:w="902" w:type="pct"/>
            <w:shd w:val="clear" w:color="auto" w:fill="auto"/>
            <w:vAlign w:val="center"/>
          </w:tcPr>
          <w:p w14:paraId="02D8D318">
            <w:pPr>
              <w:widowControl/>
              <w:jc w:val="center"/>
              <w:rPr>
                <w:bCs/>
                <w:kern w:val="0"/>
              </w:rPr>
            </w:pPr>
            <w:r>
              <w:rPr>
                <w:rFonts w:hint="eastAsia"/>
                <w:bCs/>
                <w:kern w:val="0"/>
              </w:rPr>
              <w:t>合计</w:t>
            </w:r>
          </w:p>
        </w:tc>
        <w:tc>
          <w:tcPr>
            <w:tcW w:w="847" w:type="pct"/>
            <w:shd w:val="clear" w:color="auto" w:fill="auto"/>
            <w:noWrap/>
            <w:tcMar>
              <w:top w:w="0" w:type="dxa"/>
              <w:left w:w="57" w:type="dxa"/>
              <w:bottom w:w="0" w:type="dxa"/>
              <w:right w:w="57" w:type="dxa"/>
            </w:tcMar>
            <w:vAlign w:val="center"/>
          </w:tcPr>
          <w:p w14:paraId="5326E209">
            <w:pPr>
              <w:widowControl/>
              <w:jc w:val="center"/>
              <w:rPr>
                <w:bCs/>
                <w:kern w:val="0"/>
              </w:rPr>
            </w:pPr>
            <w:r>
              <w:rPr>
                <w:rFonts w:hint="eastAsia"/>
                <w:bCs/>
                <w:kern w:val="0"/>
              </w:rPr>
              <w:t>330.75</w:t>
            </w:r>
          </w:p>
        </w:tc>
        <w:tc>
          <w:tcPr>
            <w:tcW w:w="793" w:type="pct"/>
            <w:shd w:val="clear" w:color="auto" w:fill="auto"/>
            <w:noWrap/>
            <w:tcMar>
              <w:top w:w="0" w:type="dxa"/>
              <w:left w:w="57" w:type="dxa"/>
              <w:bottom w:w="0" w:type="dxa"/>
              <w:right w:w="57" w:type="dxa"/>
            </w:tcMar>
            <w:vAlign w:val="center"/>
          </w:tcPr>
          <w:p w14:paraId="15BA5475">
            <w:pPr>
              <w:widowControl/>
              <w:jc w:val="center"/>
              <w:rPr>
                <w:rFonts w:hint="default" w:eastAsia="宋体"/>
                <w:bCs/>
                <w:kern w:val="0"/>
                <w:lang w:val="en-US" w:eastAsia="zh-CN"/>
              </w:rPr>
            </w:pPr>
            <w:r>
              <w:rPr>
                <w:rFonts w:hint="eastAsia"/>
                <w:bCs/>
                <w:kern w:val="0"/>
                <w:lang w:val="en-US" w:eastAsia="zh-CN"/>
              </w:rPr>
              <w:t>0.3195</w:t>
            </w:r>
          </w:p>
        </w:tc>
        <w:tc>
          <w:tcPr>
            <w:tcW w:w="789" w:type="pct"/>
            <w:shd w:val="clear" w:color="auto" w:fill="auto"/>
            <w:noWrap/>
            <w:tcMar>
              <w:top w:w="0" w:type="dxa"/>
              <w:left w:w="57" w:type="dxa"/>
              <w:bottom w:w="0" w:type="dxa"/>
              <w:right w:w="57" w:type="dxa"/>
            </w:tcMar>
            <w:vAlign w:val="center"/>
          </w:tcPr>
          <w:p w14:paraId="2846C72D">
            <w:pPr>
              <w:widowControl/>
              <w:jc w:val="center"/>
              <w:rPr>
                <w:bCs/>
                <w:kern w:val="0"/>
              </w:rPr>
            </w:pPr>
            <w:r>
              <w:rPr>
                <w:rFonts w:hint="eastAsia"/>
                <w:bCs/>
                <w:kern w:val="0"/>
              </w:rPr>
              <w:t>0.00956</w:t>
            </w:r>
          </w:p>
        </w:tc>
        <w:tc>
          <w:tcPr>
            <w:tcW w:w="676" w:type="pct"/>
            <w:shd w:val="clear" w:color="auto" w:fill="auto"/>
            <w:noWrap/>
            <w:tcMar>
              <w:top w:w="0" w:type="dxa"/>
              <w:left w:w="57" w:type="dxa"/>
              <w:bottom w:w="0" w:type="dxa"/>
              <w:right w:w="57" w:type="dxa"/>
            </w:tcMar>
            <w:vAlign w:val="center"/>
          </w:tcPr>
          <w:p w14:paraId="3E53C571">
            <w:pPr>
              <w:widowControl/>
              <w:jc w:val="center"/>
              <w:rPr>
                <w:bCs/>
                <w:kern w:val="0"/>
              </w:rPr>
            </w:pPr>
            <w:r>
              <w:rPr>
                <w:rFonts w:hint="eastAsia"/>
                <w:bCs/>
                <w:kern w:val="0"/>
              </w:rPr>
              <w:t>0.06375</w:t>
            </w:r>
          </w:p>
        </w:tc>
        <w:tc>
          <w:tcPr>
            <w:tcW w:w="670" w:type="pct"/>
            <w:shd w:val="clear" w:color="auto" w:fill="auto"/>
            <w:vAlign w:val="center"/>
          </w:tcPr>
          <w:p w14:paraId="2ECA4D74">
            <w:pPr>
              <w:widowControl/>
              <w:jc w:val="center"/>
              <w:rPr>
                <w:rFonts w:hint="default" w:eastAsia="宋体"/>
                <w:bCs/>
                <w:kern w:val="0"/>
                <w:lang w:val="en-US" w:eastAsia="zh-CN"/>
              </w:rPr>
            </w:pPr>
            <w:r>
              <w:rPr>
                <w:rFonts w:hint="eastAsia"/>
                <w:bCs/>
                <w:kern w:val="0"/>
                <w:lang w:val="en-US" w:eastAsia="zh-CN"/>
              </w:rPr>
              <w:t>0.16179</w:t>
            </w:r>
          </w:p>
        </w:tc>
      </w:tr>
    </w:tbl>
    <w:p w14:paraId="7A85CB09">
      <w:pPr>
        <w:adjustRightInd w:val="0"/>
        <w:snapToGrid w:val="0"/>
        <w:spacing w:line="360" w:lineRule="auto"/>
        <w:ind w:firstLine="480" w:firstLineChars="200"/>
        <w:rPr>
          <w:b/>
          <w:bCs/>
          <w:spacing w:val="-10"/>
        </w:rPr>
      </w:pPr>
      <w:r>
        <w:rPr>
          <w:sz w:val="24"/>
          <w:szCs w:val="24"/>
        </w:rPr>
        <w:t>水帘喷淋废水</w:t>
      </w:r>
      <w:r>
        <w:rPr>
          <w:rFonts w:hint="eastAsia"/>
          <w:sz w:val="24"/>
          <w:szCs w:val="24"/>
        </w:rPr>
        <w:t>在车间内污水预处理系统中</w:t>
      </w:r>
      <w:r>
        <w:rPr>
          <w:sz w:val="24"/>
          <w:szCs w:val="24"/>
        </w:rPr>
        <w:t>经絮凝沉淀、打捞沉渣后循环使用到不能再适合使用后，达到 GB8978-1996《污水综合排放标准》三级标准后排入污水管网</w:t>
      </w:r>
      <w:r>
        <w:rPr>
          <w:rFonts w:hint="eastAsia"/>
          <w:sz w:val="24"/>
          <w:szCs w:val="24"/>
        </w:rPr>
        <w:t>，</w:t>
      </w:r>
      <w:r>
        <w:rPr>
          <w:sz w:val="24"/>
          <w:szCs w:val="24"/>
        </w:rPr>
        <w:t>其中氨氮、总磷排放</w:t>
      </w:r>
      <w:r>
        <w:rPr>
          <w:rFonts w:hint="eastAsia"/>
          <w:sz w:val="24"/>
          <w:szCs w:val="24"/>
        </w:rPr>
        <w:t>满足</w:t>
      </w:r>
      <w:r>
        <w:rPr>
          <w:sz w:val="24"/>
          <w:szCs w:val="24"/>
        </w:rPr>
        <w:t>《工业企业废水氮、磷污染物间接排放限值》(DB33/887-2013)相关标准限值后纳入市政污水管网，集中送至临平净水厂进行处理外排。</w:t>
      </w:r>
    </w:p>
    <w:p w14:paraId="79CB1B64">
      <w:pPr>
        <w:adjustRightInd w:val="0"/>
        <w:snapToGrid w:val="0"/>
        <w:spacing w:line="360" w:lineRule="auto"/>
        <w:jc w:val="center"/>
        <w:rPr>
          <w:b/>
          <w:bCs/>
          <w:spacing w:val="-10"/>
        </w:rPr>
      </w:pPr>
      <w:r>
        <w:rPr>
          <w:rFonts w:hint="eastAsia"/>
          <w:b/>
          <w:bCs/>
          <w:spacing w:val="-10"/>
        </w:rPr>
        <w:t xml:space="preserve">表14      </w:t>
      </w:r>
      <w:r>
        <w:rPr>
          <w:b/>
          <w:bCs/>
          <w:spacing w:val="-10"/>
        </w:rPr>
        <w:t>废水污染源源强核算结果及相关参数一览表</w:t>
      </w:r>
    </w:p>
    <w:tbl>
      <w:tblPr>
        <w:tblStyle w:val="88"/>
        <w:tblW w:w="51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3"/>
        <w:gridCol w:w="322"/>
        <w:gridCol w:w="345"/>
        <w:gridCol w:w="753"/>
        <w:gridCol w:w="404"/>
        <w:gridCol w:w="744"/>
        <w:gridCol w:w="1001"/>
        <w:gridCol w:w="853"/>
        <w:gridCol w:w="432"/>
        <w:gridCol w:w="438"/>
        <w:gridCol w:w="412"/>
        <w:gridCol w:w="744"/>
        <w:gridCol w:w="1001"/>
        <w:gridCol w:w="1167"/>
        <w:gridCol w:w="881"/>
      </w:tblGrid>
      <w:tr w14:paraId="43F9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restart"/>
            <w:vAlign w:val="center"/>
          </w:tcPr>
          <w:p w14:paraId="7FE6C6BB">
            <w:pPr>
              <w:widowControl/>
              <w:jc w:val="center"/>
              <w:rPr>
                <w:bCs/>
                <w:kern w:val="0"/>
              </w:rPr>
            </w:pPr>
            <w:r>
              <w:rPr>
                <w:rFonts w:hint="eastAsia"/>
                <w:bCs/>
                <w:kern w:val="0"/>
              </w:rPr>
              <w:t>工序/生产线</w:t>
            </w:r>
          </w:p>
        </w:tc>
        <w:tc>
          <w:tcPr>
            <w:tcW w:w="164" w:type="pct"/>
            <w:vMerge w:val="restart"/>
            <w:vAlign w:val="center"/>
          </w:tcPr>
          <w:p w14:paraId="5362FA6E">
            <w:pPr>
              <w:widowControl/>
              <w:jc w:val="center"/>
              <w:rPr>
                <w:bCs/>
                <w:kern w:val="0"/>
              </w:rPr>
            </w:pPr>
            <w:r>
              <w:rPr>
                <w:rFonts w:hint="eastAsia"/>
                <w:bCs/>
                <w:kern w:val="0"/>
              </w:rPr>
              <w:t>装置</w:t>
            </w:r>
          </w:p>
        </w:tc>
        <w:tc>
          <w:tcPr>
            <w:tcW w:w="176" w:type="pct"/>
            <w:vMerge w:val="restart"/>
            <w:vAlign w:val="center"/>
          </w:tcPr>
          <w:p w14:paraId="172E299A">
            <w:pPr>
              <w:widowControl/>
              <w:jc w:val="center"/>
              <w:rPr>
                <w:bCs/>
                <w:kern w:val="0"/>
              </w:rPr>
            </w:pPr>
            <w:r>
              <w:rPr>
                <w:rFonts w:hint="eastAsia"/>
                <w:bCs/>
                <w:kern w:val="0"/>
              </w:rPr>
              <w:t>污染源</w:t>
            </w:r>
          </w:p>
        </w:tc>
        <w:tc>
          <w:tcPr>
            <w:tcW w:w="384" w:type="pct"/>
            <w:vMerge w:val="restart"/>
            <w:vAlign w:val="center"/>
          </w:tcPr>
          <w:p w14:paraId="60FEB20A">
            <w:pPr>
              <w:widowControl/>
              <w:jc w:val="center"/>
              <w:rPr>
                <w:bCs/>
                <w:kern w:val="0"/>
              </w:rPr>
            </w:pPr>
            <w:r>
              <w:rPr>
                <w:rFonts w:hint="eastAsia"/>
                <w:bCs/>
                <w:kern w:val="0"/>
              </w:rPr>
              <w:t>污染物</w:t>
            </w:r>
          </w:p>
        </w:tc>
        <w:tc>
          <w:tcPr>
            <w:tcW w:w="1530" w:type="pct"/>
            <w:gridSpan w:val="4"/>
            <w:vAlign w:val="center"/>
          </w:tcPr>
          <w:p w14:paraId="26011335">
            <w:pPr>
              <w:widowControl/>
              <w:jc w:val="center"/>
              <w:rPr>
                <w:bCs/>
                <w:kern w:val="0"/>
              </w:rPr>
            </w:pPr>
            <w:r>
              <w:rPr>
                <w:rFonts w:hint="eastAsia"/>
                <w:bCs/>
                <w:kern w:val="0"/>
              </w:rPr>
              <w:t>污染物产生</w:t>
            </w:r>
          </w:p>
        </w:tc>
        <w:tc>
          <w:tcPr>
            <w:tcW w:w="443" w:type="pct"/>
            <w:gridSpan w:val="2"/>
            <w:vAlign w:val="center"/>
          </w:tcPr>
          <w:p w14:paraId="124AAF79">
            <w:pPr>
              <w:widowControl/>
              <w:jc w:val="center"/>
              <w:rPr>
                <w:bCs/>
                <w:kern w:val="0"/>
              </w:rPr>
            </w:pPr>
            <w:r>
              <w:rPr>
                <w:rFonts w:hint="eastAsia"/>
                <w:bCs/>
                <w:kern w:val="0"/>
              </w:rPr>
              <w:t>治理措施</w:t>
            </w:r>
          </w:p>
        </w:tc>
        <w:tc>
          <w:tcPr>
            <w:tcW w:w="1694" w:type="pct"/>
            <w:gridSpan w:val="4"/>
            <w:vAlign w:val="center"/>
          </w:tcPr>
          <w:p w14:paraId="563A78EA">
            <w:pPr>
              <w:widowControl/>
              <w:jc w:val="center"/>
              <w:rPr>
                <w:bCs/>
                <w:kern w:val="0"/>
              </w:rPr>
            </w:pPr>
            <w:r>
              <w:rPr>
                <w:rFonts w:hint="eastAsia"/>
                <w:bCs/>
                <w:kern w:val="0"/>
              </w:rPr>
              <w:t>污染物排放</w:t>
            </w:r>
          </w:p>
        </w:tc>
        <w:tc>
          <w:tcPr>
            <w:tcW w:w="449" w:type="pct"/>
            <w:vMerge w:val="restart"/>
            <w:vAlign w:val="center"/>
          </w:tcPr>
          <w:p w14:paraId="1C3D9F8C">
            <w:pPr>
              <w:widowControl/>
              <w:jc w:val="center"/>
              <w:rPr>
                <w:bCs/>
                <w:kern w:val="0"/>
              </w:rPr>
            </w:pPr>
            <w:r>
              <w:rPr>
                <w:rFonts w:hint="eastAsia"/>
                <w:bCs/>
                <w:kern w:val="0"/>
              </w:rPr>
              <w:t>排放</w:t>
            </w:r>
          </w:p>
          <w:p w14:paraId="031E7EFA">
            <w:pPr>
              <w:widowControl/>
              <w:jc w:val="center"/>
              <w:rPr>
                <w:bCs/>
                <w:kern w:val="0"/>
              </w:rPr>
            </w:pPr>
            <w:r>
              <w:rPr>
                <w:rFonts w:hint="eastAsia"/>
                <w:bCs/>
                <w:kern w:val="0"/>
              </w:rPr>
              <w:t>时间(天)</w:t>
            </w:r>
          </w:p>
        </w:tc>
      </w:tr>
      <w:tr w14:paraId="383F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continue"/>
            <w:vAlign w:val="center"/>
          </w:tcPr>
          <w:p w14:paraId="65A14F80">
            <w:pPr>
              <w:widowControl/>
              <w:jc w:val="center"/>
              <w:rPr>
                <w:bCs/>
                <w:kern w:val="0"/>
              </w:rPr>
            </w:pPr>
          </w:p>
        </w:tc>
        <w:tc>
          <w:tcPr>
            <w:tcW w:w="164" w:type="pct"/>
            <w:vMerge w:val="continue"/>
            <w:vAlign w:val="center"/>
          </w:tcPr>
          <w:p w14:paraId="7873BE2F">
            <w:pPr>
              <w:widowControl/>
              <w:jc w:val="center"/>
              <w:rPr>
                <w:bCs/>
                <w:kern w:val="0"/>
              </w:rPr>
            </w:pPr>
          </w:p>
        </w:tc>
        <w:tc>
          <w:tcPr>
            <w:tcW w:w="176" w:type="pct"/>
            <w:vMerge w:val="continue"/>
            <w:vAlign w:val="center"/>
          </w:tcPr>
          <w:p w14:paraId="0B54055E">
            <w:pPr>
              <w:widowControl/>
              <w:jc w:val="center"/>
              <w:rPr>
                <w:bCs/>
                <w:kern w:val="0"/>
              </w:rPr>
            </w:pPr>
          </w:p>
        </w:tc>
        <w:tc>
          <w:tcPr>
            <w:tcW w:w="384" w:type="pct"/>
            <w:vMerge w:val="continue"/>
            <w:vAlign w:val="center"/>
          </w:tcPr>
          <w:p w14:paraId="315E9707">
            <w:pPr>
              <w:widowControl/>
              <w:jc w:val="center"/>
              <w:rPr>
                <w:bCs/>
                <w:kern w:val="0"/>
              </w:rPr>
            </w:pPr>
          </w:p>
        </w:tc>
        <w:tc>
          <w:tcPr>
            <w:tcW w:w="206" w:type="pct"/>
            <w:vAlign w:val="center"/>
          </w:tcPr>
          <w:p w14:paraId="14D4C402">
            <w:pPr>
              <w:widowControl/>
              <w:jc w:val="center"/>
              <w:rPr>
                <w:bCs/>
                <w:kern w:val="0"/>
              </w:rPr>
            </w:pPr>
            <w:r>
              <w:rPr>
                <w:rFonts w:hint="eastAsia"/>
                <w:bCs/>
                <w:kern w:val="0"/>
              </w:rPr>
              <w:t>核算方法</w:t>
            </w:r>
          </w:p>
        </w:tc>
        <w:tc>
          <w:tcPr>
            <w:tcW w:w="379" w:type="pct"/>
            <w:vAlign w:val="center"/>
          </w:tcPr>
          <w:p w14:paraId="417039BF">
            <w:pPr>
              <w:widowControl/>
              <w:jc w:val="center"/>
              <w:rPr>
                <w:bCs/>
                <w:kern w:val="0"/>
              </w:rPr>
            </w:pPr>
            <w:r>
              <w:rPr>
                <w:rFonts w:hint="eastAsia"/>
                <w:bCs/>
                <w:kern w:val="0"/>
              </w:rPr>
              <w:t>产生废水量/(m</w:t>
            </w:r>
            <w:r>
              <w:rPr>
                <w:rFonts w:hint="eastAsia"/>
                <w:bCs/>
                <w:kern w:val="0"/>
                <w:vertAlign w:val="superscript"/>
              </w:rPr>
              <w:t>3</w:t>
            </w:r>
            <w:r>
              <w:rPr>
                <w:rFonts w:hint="eastAsia"/>
                <w:bCs/>
                <w:kern w:val="0"/>
              </w:rPr>
              <w:t>/a)</w:t>
            </w:r>
          </w:p>
        </w:tc>
        <w:tc>
          <w:tcPr>
            <w:tcW w:w="510" w:type="pct"/>
            <w:vAlign w:val="center"/>
          </w:tcPr>
          <w:p w14:paraId="096436FF">
            <w:pPr>
              <w:widowControl/>
              <w:jc w:val="center"/>
              <w:rPr>
                <w:bCs/>
                <w:kern w:val="0"/>
              </w:rPr>
            </w:pPr>
            <w:r>
              <w:rPr>
                <w:rFonts w:hint="eastAsia"/>
                <w:bCs/>
                <w:kern w:val="0"/>
              </w:rPr>
              <w:t>产生浓度/(mg/L)</w:t>
            </w:r>
          </w:p>
        </w:tc>
        <w:tc>
          <w:tcPr>
            <w:tcW w:w="434" w:type="pct"/>
            <w:vAlign w:val="center"/>
          </w:tcPr>
          <w:p w14:paraId="649E899C">
            <w:pPr>
              <w:widowControl/>
              <w:jc w:val="center"/>
              <w:rPr>
                <w:bCs/>
                <w:kern w:val="0"/>
              </w:rPr>
            </w:pPr>
            <w:r>
              <w:rPr>
                <w:rFonts w:hint="eastAsia"/>
                <w:bCs/>
                <w:kern w:val="0"/>
              </w:rPr>
              <w:t>产生量/(t/a)</w:t>
            </w:r>
          </w:p>
        </w:tc>
        <w:tc>
          <w:tcPr>
            <w:tcW w:w="220" w:type="pct"/>
            <w:vAlign w:val="center"/>
          </w:tcPr>
          <w:p w14:paraId="31120F9F">
            <w:pPr>
              <w:widowControl/>
              <w:jc w:val="center"/>
              <w:rPr>
                <w:bCs/>
                <w:kern w:val="0"/>
              </w:rPr>
            </w:pPr>
            <w:r>
              <w:rPr>
                <w:rFonts w:hint="eastAsia"/>
                <w:bCs/>
                <w:kern w:val="0"/>
              </w:rPr>
              <w:t>工艺</w:t>
            </w:r>
          </w:p>
        </w:tc>
        <w:tc>
          <w:tcPr>
            <w:tcW w:w="223" w:type="pct"/>
            <w:vAlign w:val="center"/>
          </w:tcPr>
          <w:p w14:paraId="1CEE1A76">
            <w:pPr>
              <w:widowControl/>
              <w:jc w:val="center"/>
              <w:rPr>
                <w:bCs/>
                <w:kern w:val="0"/>
              </w:rPr>
            </w:pPr>
            <w:r>
              <w:rPr>
                <w:rFonts w:hint="eastAsia"/>
                <w:bCs/>
                <w:kern w:val="0"/>
              </w:rPr>
              <w:t>效率/%</w:t>
            </w:r>
          </w:p>
        </w:tc>
        <w:tc>
          <w:tcPr>
            <w:tcW w:w="210" w:type="pct"/>
            <w:vAlign w:val="center"/>
          </w:tcPr>
          <w:p w14:paraId="7579D038">
            <w:pPr>
              <w:widowControl/>
              <w:jc w:val="center"/>
              <w:rPr>
                <w:bCs/>
                <w:kern w:val="0"/>
              </w:rPr>
            </w:pPr>
            <w:r>
              <w:rPr>
                <w:rFonts w:hint="eastAsia"/>
                <w:bCs/>
                <w:kern w:val="0"/>
              </w:rPr>
              <w:t>核算方法</w:t>
            </w:r>
          </w:p>
        </w:tc>
        <w:tc>
          <w:tcPr>
            <w:tcW w:w="379" w:type="pct"/>
            <w:vAlign w:val="center"/>
          </w:tcPr>
          <w:p w14:paraId="5D35ECC1">
            <w:pPr>
              <w:widowControl/>
              <w:jc w:val="center"/>
              <w:rPr>
                <w:bCs/>
                <w:kern w:val="0"/>
              </w:rPr>
            </w:pPr>
            <w:r>
              <w:rPr>
                <w:rFonts w:hint="eastAsia"/>
                <w:bCs/>
                <w:kern w:val="0"/>
              </w:rPr>
              <w:t>排放废水量/(m</w:t>
            </w:r>
            <w:r>
              <w:rPr>
                <w:rFonts w:hint="eastAsia"/>
                <w:bCs/>
                <w:kern w:val="0"/>
                <w:vertAlign w:val="superscript"/>
              </w:rPr>
              <w:t>3</w:t>
            </w:r>
            <w:r>
              <w:rPr>
                <w:rFonts w:hint="eastAsia"/>
                <w:bCs/>
                <w:kern w:val="0"/>
              </w:rPr>
              <w:t>/a)</w:t>
            </w:r>
          </w:p>
        </w:tc>
        <w:tc>
          <w:tcPr>
            <w:tcW w:w="510" w:type="pct"/>
            <w:vAlign w:val="center"/>
          </w:tcPr>
          <w:p w14:paraId="78C87E0E">
            <w:pPr>
              <w:widowControl/>
              <w:jc w:val="center"/>
              <w:rPr>
                <w:bCs/>
                <w:kern w:val="0"/>
              </w:rPr>
            </w:pPr>
            <w:r>
              <w:rPr>
                <w:rFonts w:hint="eastAsia"/>
                <w:bCs/>
                <w:kern w:val="0"/>
              </w:rPr>
              <w:t>排放浓度/(mg/L)</w:t>
            </w:r>
          </w:p>
        </w:tc>
        <w:tc>
          <w:tcPr>
            <w:tcW w:w="594" w:type="pct"/>
            <w:vAlign w:val="center"/>
          </w:tcPr>
          <w:p w14:paraId="3E98C60A">
            <w:pPr>
              <w:widowControl/>
              <w:jc w:val="center"/>
              <w:rPr>
                <w:bCs/>
                <w:kern w:val="0"/>
              </w:rPr>
            </w:pPr>
            <w:r>
              <w:rPr>
                <w:rFonts w:hint="eastAsia"/>
                <w:bCs/>
                <w:kern w:val="0"/>
              </w:rPr>
              <w:t>排放量/(t/a)</w:t>
            </w:r>
          </w:p>
        </w:tc>
        <w:tc>
          <w:tcPr>
            <w:tcW w:w="449" w:type="pct"/>
            <w:vMerge w:val="continue"/>
            <w:vAlign w:val="center"/>
          </w:tcPr>
          <w:p w14:paraId="05F2374B">
            <w:pPr>
              <w:widowControl/>
              <w:jc w:val="center"/>
              <w:rPr>
                <w:bCs/>
                <w:kern w:val="0"/>
              </w:rPr>
            </w:pPr>
          </w:p>
        </w:tc>
      </w:tr>
      <w:tr w14:paraId="5BE0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55" w:type="pct"/>
            <w:vMerge w:val="restart"/>
            <w:vAlign w:val="center"/>
          </w:tcPr>
          <w:p w14:paraId="04B0A780">
            <w:pPr>
              <w:widowControl/>
              <w:jc w:val="center"/>
              <w:rPr>
                <w:bCs/>
                <w:kern w:val="0"/>
              </w:rPr>
            </w:pPr>
            <w:r>
              <w:rPr>
                <w:rFonts w:hint="eastAsia"/>
                <w:bCs/>
                <w:kern w:val="0"/>
              </w:rPr>
              <w:t>员工生活</w:t>
            </w:r>
          </w:p>
        </w:tc>
        <w:tc>
          <w:tcPr>
            <w:tcW w:w="164" w:type="pct"/>
            <w:vMerge w:val="restart"/>
            <w:vAlign w:val="center"/>
          </w:tcPr>
          <w:p w14:paraId="08167D2B">
            <w:pPr>
              <w:widowControl/>
              <w:jc w:val="center"/>
              <w:rPr>
                <w:bCs/>
                <w:kern w:val="0"/>
              </w:rPr>
            </w:pPr>
            <w:r>
              <w:rPr>
                <w:rFonts w:hint="eastAsia"/>
                <w:bCs/>
                <w:kern w:val="0"/>
              </w:rPr>
              <w:t>--</w:t>
            </w:r>
          </w:p>
        </w:tc>
        <w:tc>
          <w:tcPr>
            <w:tcW w:w="176" w:type="pct"/>
            <w:vMerge w:val="restart"/>
            <w:vAlign w:val="center"/>
          </w:tcPr>
          <w:p w14:paraId="61CC9FC7">
            <w:pPr>
              <w:widowControl/>
              <w:jc w:val="center"/>
              <w:rPr>
                <w:bCs/>
                <w:kern w:val="0"/>
              </w:rPr>
            </w:pPr>
            <w:r>
              <w:rPr>
                <w:rFonts w:hint="eastAsia"/>
                <w:bCs/>
                <w:kern w:val="0"/>
              </w:rPr>
              <w:t>生活污水</w:t>
            </w:r>
          </w:p>
        </w:tc>
        <w:tc>
          <w:tcPr>
            <w:tcW w:w="384" w:type="pct"/>
            <w:vAlign w:val="center"/>
          </w:tcPr>
          <w:p w14:paraId="021A883D">
            <w:pPr>
              <w:widowControl/>
              <w:jc w:val="center"/>
              <w:rPr>
                <w:bCs/>
                <w:kern w:val="0"/>
              </w:rPr>
            </w:pPr>
            <w:r>
              <w:rPr>
                <w:rFonts w:hint="eastAsia"/>
                <w:bCs/>
                <w:kern w:val="0"/>
              </w:rPr>
              <w:t>CODCr</w:t>
            </w:r>
          </w:p>
        </w:tc>
        <w:tc>
          <w:tcPr>
            <w:tcW w:w="206" w:type="pct"/>
            <w:vMerge w:val="restart"/>
            <w:vAlign w:val="center"/>
          </w:tcPr>
          <w:p w14:paraId="4EE931B3">
            <w:pPr>
              <w:widowControl/>
              <w:jc w:val="center"/>
              <w:rPr>
                <w:bCs/>
                <w:kern w:val="0"/>
              </w:rPr>
            </w:pPr>
            <w:r>
              <w:rPr>
                <w:rFonts w:hint="eastAsia"/>
                <w:bCs/>
                <w:kern w:val="0"/>
              </w:rPr>
              <w:t>类比法</w:t>
            </w:r>
          </w:p>
        </w:tc>
        <w:tc>
          <w:tcPr>
            <w:tcW w:w="379" w:type="pct"/>
            <w:vMerge w:val="restart"/>
            <w:vAlign w:val="center"/>
          </w:tcPr>
          <w:p w14:paraId="632479F1">
            <w:pPr>
              <w:widowControl/>
              <w:jc w:val="center"/>
              <w:rPr>
                <w:bCs/>
                <w:kern w:val="0"/>
              </w:rPr>
            </w:pPr>
            <w:r>
              <w:rPr>
                <w:rFonts w:hint="eastAsia"/>
                <w:bCs/>
                <w:kern w:val="0"/>
              </w:rPr>
              <w:t>318.75</w:t>
            </w:r>
          </w:p>
        </w:tc>
        <w:tc>
          <w:tcPr>
            <w:tcW w:w="510" w:type="pct"/>
            <w:vAlign w:val="center"/>
          </w:tcPr>
          <w:p w14:paraId="09670233">
            <w:pPr>
              <w:widowControl/>
              <w:jc w:val="center"/>
              <w:rPr>
                <w:bCs/>
                <w:kern w:val="0"/>
              </w:rPr>
            </w:pPr>
            <w:r>
              <w:rPr>
                <w:rFonts w:hint="eastAsia"/>
                <w:bCs/>
                <w:kern w:val="0"/>
                <w:lang w:val="zh-CN"/>
              </w:rPr>
              <w:t>350</w:t>
            </w:r>
          </w:p>
        </w:tc>
        <w:tc>
          <w:tcPr>
            <w:tcW w:w="434" w:type="pct"/>
            <w:vAlign w:val="center"/>
          </w:tcPr>
          <w:p w14:paraId="4FCC045E">
            <w:pPr>
              <w:widowControl/>
              <w:jc w:val="center"/>
              <w:rPr>
                <w:bCs/>
                <w:kern w:val="0"/>
              </w:rPr>
            </w:pPr>
            <w:r>
              <w:rPr>
                <w:rFonts w:hint="eastAsia"/>
                <w:bCs/>
                <w:kern w:val="0"/>
              </w:rPr>
              <w:t>0.112</w:t>
            </w:r>
          </w:p>
        </w:tc>
        <w:tc>
          <w:tcPr>
            <w:tcW w:w="220" w:type="pct"/>
            <w:vMerge w:val="restart"/>
            <w:vAlign w:val="center"/>
          </w:tcPr>
          <w:p w14:paraId="60D05992">
            <w:pPr>
              <w:widowControl/>
              <w:jc w:val="center"/>
              <w:rPr>
                <w:bCs/>
                <w:kern w:val="0"/>
              </w:rPr>
            </w:pPr>
            <w:r>
              <w:rPr>
                <w:rFonts w:hint="eastAsia"/>
                <w:bCs/>
                <w:kern w:val="0"/>
              </w:rPr>
              <w:t>化粪池</w:t>
            </w:r>
          </w:p>
        </w:tc>
        <w:tc>
          <w:tcPr>
            <w:tcW w:w="223" w:type="pct"/>
            <w:vMerge w:val="restart"/>
            <w:vAlign w:val="center"/>
          </w:tcPr>
          <w:p w14:paraId="3409248F">
            <w:pPr>
              <w:widowControl/>
              <w:jc w:val="center"/>
              <w:rPr>
                <w:bCs/>
                <w:kern w:val="0"/>
              </w:rPr>
            </w:pPr>
            <w:r>
              <w:rPr>
                <w:rFonts w:hint="eastAsia"/>
                <w:bCs/>
                <w:kern w:val="0"/>
              </w:rPr>
              <w:t>--</w:t>
            </w:r>
          </w:p>
        </w:tc>
        <w:tc>
          <w:tcPr>
            <w:tcW w:w="210" w:type="pct"/>
            <w:vMerge w:val="restart"/>
            <w:vAlign w:val="center"/>
          </w:tcPr>
          <w:p w14:paraId="5DCC58B7">
            <w:pPr>
              <w:widowControl/>
              <w:jc w:val="center"/>
              <w:rPr>
                <w:bCs/>
                <w:kern w:val="0"/>
              </w:rPr>
            </w:pPr>
            <w:r>
              <w:rPr>
                <w:rFonts w:hint="eastAsia"/>
                <w:bCs/>
                <w:kern w:val="0"/>
              </w:rPr>
              <w:t>达标排放</w:t>
            </w:r>
          </w:p>
        </w:tc>
        <w:tc>
          <w:tcPr>
            <w:tcW w:w="379" w:type="pct"/>
            <w:vMerge w:val="restart"/>
            <w:vAlign w:val="center"/>
          </w:tcPr>
          <w:p w14:paraId="03744B5C">
            <w:pPr>
              <w:widowControl/>
              <w:jc w:val="center"/>
              <w:rPr>
                <w:bCs/>
                <w:kern w:val="0"/>
              </w:rPr>
            </w:pPr>
            <w:r>
              <w:rPr>
                <w:rFonts w:hint="eastAsia"/>
                <w:bCs/>
                <w:kern w:val="0"/>
              </w:rPr>
              <w:t>318.75</w:t>
            </w:r>
          </w:p>
        </w:tc>
        <w:tc>
          <w:tcPr>
            <w:tcW w:w="510" w:type="pct"/>
            <w:vAlign w:val="center"/>
          </w:tcPr>
          <w:p w14:paraId="1F7BCAF6">
            <w:pPr>
              <w:widowControl/>
              <w:jc w:val="center"/>
              <w:rPr>
                <w:bCs/>
                <w:kern w:val="0"/>
              </w:rPr>
            </w:pPr>
            <w:r>
              <w:rPr>
                <w:rFonts w:hint="eastAsia"/>
                <w:bCs/>
                <w:kern w:val="0"/>
              </w:rPr>
              <w:t>40</w:t>
            </w:r>
          </w:p>
        </w:tc>
        <w:tc>
          <w:tcPr>
            <w:tcW w:w="594" w:type="pct"/>
            <w:vAlign w:val="center"/>
          </w:tcPr>
          <w:p w14:paraId="6B25FE3B">
            <w:pPr>
              <w:widowControl/>
              <w:jc w:val="center"/>
              <w:rPr>
                <w:bCs/>
                <w:kern w:val="0"/>
              </w:rPr>
            </w:pPr>
            <w:r>
              <w:rPr>
                <w:rFonts w:hint="eastAsia"/>
                <w:bCs/>
                <w:kern w:val="0"/>
              </w:rPr>
              <w:t>0.013</w:t>
            </w:r>
          </w:p>
        </w:tc>
        <w:tc>
          <w:tcPr>
            <w:tcW w:w="449" w:type="pct"/>
            <w:vAlign w:val="center"/>
          </w:tcPr>
          <w:p w14:paraId="2B97067C">
            <w:pPr>
              <w:widowControl/>
              <w:jc w:val="center"/>
              <w:rPr>
                <w:bCs/>
                <w:kern w:val="0"/>
              </w:rPr>
            </w:pPr>
            <w:r>
              <w:rPr>
                <w:rFonts w:hint="eastAsia"/>
                <w:bCs/>
                <w:kern w:val="0"/>
              </w:rPr>
              <w:t>300</w:t>
            </w:r>
          </w:p>
        </w:tc>
      </w:tr>
      <w:tr w14:paraId="1B47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continue"/>
            <w:vAlign w:val="center"/>
          </w:tcPr>
          <w:p w14:paraId="51011861">
            <w:pPr>
              <w:widowControl/>
              <w:jc w:val="center"/>
              <w:rPr>
                <w:bCs/>
                <w:kern w:val="0"/>
              </w:rPr>
            </w:pPr>
          </w:p>
        </w:tc>
        <w:tc>
          <w:tcPr>
            <w:tcW w:w="164" w:type="pct"/>
            <w:vMerge w:val="continue"/>
            <w:vAlign w:val="center"/>
          </w:tcPr>
          <w:p w14:paraId="32112CE9">
            <w:pPr>
              <w:widowControl/>
              <w:jc w:val="center"/>
              <w:rPr>
                <w:bCs/>
                <w:kern w:val="0"/>
              </w:rPr>
            </w:pPr>
          </w:p>
        </w:tc>
        <w:tc>
          <w:tcPr>
            <w:tcW w:w="176" w:type="pct"/>
            <w:vMerge w:val="continue"/>
            <w:vAlign w:val="center"/>
          </w:tcPr>
          <w:p w14:paraId="57F4C128">
            <w:pPr>
              <w:widowControl/>
              <w:jc w:val="center"/>
              <w:rPr>
                <w:bCs/>
                <w:kern w:val="0"/>
              </w:rPr>
            </w:pPr>
          </w:p>
        </w:tc>
        <w:tc>
          <w:tcPr>
            <w:tcW w:w="384" w:type="pct"/>
            <w:vAlign w:val="center"/>
          </w:tcPr>
          <w:p w14:paraId="63A3058E">
            <w:pPr>
              <w:widowControl/>
              <w:jc w:val="center"/>
              <w:rPr>
                <w:bCs/>
                <w:kern w:val="0"/>
              </w:rPr>
            </w:pPr>
            <w:r>
              <w:rPr>
                <w:rFonts w:hint="eastAsia"/>
                <w:bCs/>
                <w:kern w:val="0"/>
              </w:rPr>
              <w:t>NH</w:t>
            </w:r>
            <w:r>
              <w:rPr>
                <w:rFonts w:hint="eastAsia"/>
                <w:bCs/>
                <w:kern w:val="0"/>
                <w:vertAlign w:val="subscript"/>
              </w:rPr>
              <w:t>3</w:t>
            </w:r>
            <w:r>
              <w:rPr>
                <w:rFonts w:hint="eastAsia"/>
                <w:bCs/>
                <w:kern w:val="0"/>
              </w:rPr>
              <w:t>-N</w:t>
            </w:r>
          </w:p>
        </w:tc>
        <w:tc>
          <w:tcPr>
            <w:tcW w:w="206" w:type="pct"/>
            <w:vMerge w:val="continue"/>
            <w:vAlign w:val="center"/>
          </w:tcPr>
          <w:p w14:paraId="0018F341">
            <w:pPr>
              <w:widowControl/>
              <w:jc w:val="center"/>
              <w:rPr>
                <w:bCs/>
                <w:kern w:val="0"/>
              </w:rPr>
            </w:pPr>
          </w:p>
        </w:tc>
        <w:tc>
          <w:tcPr>
            <w:tcW w:w="379" w:type="pct"/>
            <w:vMerge w:val="continue"/>
            <w:vAlign w:val="center"/>
          </w:tcPr>
          <w:p w14:paraId="5838AFD9">
            <w:pPr>
              <w:widowControl/>
              <w:jc w:val="center"/>
              <w:rPr>
                <w:bCs/>
                <w:kern w:val="0"/>
              </w:rPr>
            </w:pPr>
          </w:p>
        </w:tc>
        <w:tc>
          <w:tcPr>
            <w:tcW w:w="510" w:type="pct"/>
            <w:vAlign w:val="center"/>
          </w:tcPr>
          <w:p w14:paraId="11BEEA42">
            <w:pPr>
              <w:widowControl/>
              <w:jc w:val="center"/>
              <w:rPr>
                <w:bCs/>
                <w:kern w:val="0"/>
              </w:rPr>
            </w:pPr>
            <w:r>
              <w:rPr>
                <w:rFonts w:hint="eastAsia"/>
                <w:bCs/>
                <w:kern w:val="0"/>
                <w:lang w:val="zh-CN"/>
              </w:rPr>
              <w:t>35</w:t>
            </w:r>
          </w:p>
        </w:tc>
        <w:tc>
          <w:tcPr>
            <w:tcW w:w="434" w:type="pct"/>
            <w:vAlign w:val="center"/>
          </w:tcPr>
          <w:p w14:paraId="642D9F98">
            <w:pPr>
              <w:widowControl/>
              <w:jc w:val="center"/>
              <w:rPr>
                <w:bCs/>
                <w:kern w:val="0"/>
              </w:rPr>
            </w:pPr>
            <w:r>
              <w:rPr>
                <w:rFonts w:hint="eastAsia"/>
                <w:bCs/>
                <w:kern w:val="0"/>
                <w:lang w:val="zh-CN"/>
              </w:rPr>
              <w:t>0.</w:t>
            </w:r>
            <w:r>
              <w:rPr>
                <w:rFonts w:hint="eastAsia"/>
                <w:bCs/>
                <w:kern w:val="0"/>
              </w:rPr>
              <w:t>011</w:t>
            </w:r>
          </w:p>
        </w:tc>
        <w:tc>
          <w:tcPr>
            <w:tcW w:w="220" w:type="pct"/>
            <w:vMerge w:val="continue"/>
            <w:vAlign w:val="center"/>
          </w:tcPr>
          <w:p w14:paraId="45507E35">
            <w:pPr>
              <w:widowControl/>
              <w:jc w:val="center"/>
              <w:rPr>
                <w:bCs/>
                <w:kern w:val="0"/>
              </w:rPr>
            </w:pPr>
          </w:p>
        </w:tc>
        <w:tc>
          <w:tcPr>
            <w:tcW w:w="223" w:type="pct"/>
            <w:vMerge w:val="continue"/>
            <w:vAlign w:val="center"/>
          </w:tcPr>
          <w:p w14:paraId="3C0697FD">
            <w:pPr>
              <w:widowControl/>
              <w:jc w:val="center"/>
              <w:rPr>
                <w:bCs/>
                <w:kern w:val="0"/>
              </w:rPr>
            </w:pPr>
          </w:p>
        </w:tc>
        <w:tc>
          <w:tcPr>
            <w:tcW w:w="210" w:type="pct"/>
            <w:vMerge w:val="continue"/>
            <w:vAlign w:val="center"/>
          </w:tcPr>
          <w:p w14:paraId="64018B7E">
            <w:pPr>
              <w:widowControl/>
              <w:jc w:val="center"/>
              <w:rPr>
                <w:bCs/>
                <w:kern w:val="0"/>
              </w:rPr>
            </w:pPr>
          </w:p>
        </w:tc>
        <w:tc>
          <w:tcPr>
            <w:tcW w:w="379" w:type="pct"/>
            <w:vMerge w:val="continue"/>
            <w:vAlign w:val="center"/>
          </w:tcPr>
          <w:p w14:paraId="2A513EA9">
            <w:pPr>
              <w:widowControl/>
              <w:jc w:val="center"/>
              <w:rPr>
                <w:bCs/>
                <w:kern w:val="0"/>
              </w:rPr>
            </w:pPr>
          </w:p>
        </w:tc>
        <w:tc>
          <w:tcPr>
            <w:tcW w:w="510" w:type="pct"/>
            <w:vAlign w:val="center"/>
          </w:tcPr>
          <w:p w14:paraId="09DDA3BA">
            <w:pPr>
              <w:widowControl/>
              <w:jc w:val="center"/>
              <w:rPr>
                <w:bCs/>
                <w:kern w:val="0"/>
              </w:rPr>
            </w:pPr>
            <w:r>
              <w:rPr>
                <w:rFonts w:hint="eastAsia"/>
                <w:bCs/>
                <w:kern w:val="0"/>
              </w:rPr>
              <w:t>2</w:t>
            </w:r>
          </w:p>
        </w:tc>
        <w:tc>
          <w:tcPr>
            <w:tcW w:w="594" w:type="pct"/>
            <w:vAlign w:val="center"/>
          </w:tcPr>
          <w:p w14:paraId="16DED13E">
            <w:pPr>
              <w:widowControl/>
              <w:jc w:val="center"/>
              <w:rPr>
                <w:bCs/>
                <w:kern w:val="0"/>
              </w:rPr>
            </w:pPr>
            <w:r>
              <w:rPr>
                <w:rFonts w:hint="eastAsia"/>
                <w:bCs/>
                <w:kern w:val="0"/>
              </w:rPr>
              <w:t>0.001</w:t>
            </w:r>
          </w:p>
        </w:tc>
        <w:tc>
          <w:tcPr>
            <w:tcW w:w="449" w:type="pct"/>
            <w:vAlign w:val="center"/>
          </w:tcPr>
          <w:p w14:paraId="7D0DF39D">
            <w:pPr>
              <w:widowControl/>
              <w:jc w:val="center"/>
              <w:rPr>
                <w:bCs/>
                <w:kern w:val="0"/>
              </w:rPr>
            </w:pPr>
            <w:r>
              <w:rPr>
                <w:rFonts w:hint="eastAsia"/>
                <w:bCs/>
                <w:kern w:val="0"/>
              </w:rPr>
              <w:t>300</w:t>
            </w:r>
          </w:p>
        </w:tc>
      </w:tr>
      <w:tr w14:paraId="1873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continue"/>
            <w:vAlign w:val="center"/>
          </w:tcPr>
          <w:p w14:paraId="2AE2A160">
            <w:pPr>
              <w:widowControl/>
              <w:jc w:val="center"/>
              <w:rPr>
                <w:bCs/>
                <w:kern w:val="0"/>
              </w:rPr>
            </w:pPr>
          </w:p>
        </w:tc>
        <w:tc>
          <w:tcPr>
            <w:tcW w:w="164" w:type="pct"/>
            <w:vMerge w:val="continue"/>
            <w:vAlign w:val="center"/>
          </w:tcPr>
          <w:p w14:paraId="5355B9CA">
            <w:pPr>
              <w:widowControl/>
              <w:jc w:val="center"/>
              <w:rPr>
                <w:bCs/>
                <w:kern w:val="0"/>
              </w:rPr>
            </w:pPr>
          </w:p>
        </w:tc>
        <w:tc>
          <w:tcPr>
            <w:tcW w:w="176" w:type="pct"/>
            <w:vMerge w:val="continue"/>
            <w:vAlign w:val="center"/>
          </w:tcPr>
          <w:p w14:paraId="1AC55307">
            <w:pPr>
              <w:widowControl/>
              <w:jc w:val="center"/>
              <w:rPr>
                <w:bCs/>
                <w:kern w:val="0"/>
              </w:rPr>
            </w:pPr>
          </w:p>
        </w:tc>
        <w:tc>
          <w:tcPr>
            <w:tcW w:w="384" w:type="pct"/>
            <w:vAlign w:val="center"/>
          </w:tcPr>
          <w:p w14:paraId="1F0EE273">
            <w:pPr>
              <w:widowControl/>
              <w:jc w:val="center"/>
              <w:rPr>
                <w:bCs/>
                <w:kern w:val="0"/>
              </w:rPr>
            </w:pPr>
            <w:r>
              <w:rPr>
                <w:rFonts w:hint="eastAsia"/>
                <w:bCs/>
                <w:kern w:val="0"/>
              </w:rPr>
              <w:t>SS</w:t>
            </w:r>
          </w:p>
        </w:tc>
        <w:tc>
          <w:tcPr>
            <w:tcW w:w="206" w:type="pct"/>
            <w:vMerge w:val="continue"/>
            <w:vAlign w:val="center"/>
          </w:tcPr>
          <w:p w14:paraId="19122461">
            <w:pPr>
              <w:widowControl/>
              <w:jc w:val="center"/>
              <w:rPr>
                <w:bCs/>
                <w:kern w:val="0"/>
              </w:rPr>
            </w:pPr>
          </w:p>
        </w:tc>
        <w:tc>
          <w:tcPr>
            <w:tcW w:w="379" w:type="pct"/>
            <w:vMerge w:val="continue"/>
            <w:vAlign w:val="center"/>
          </w:tcPr>
          <w:p w14:paraId="680A6578">
            <w:pPr>
              <w:widowControl/>
              <w:jc w:val="center"/>
              <w:rPr>
                <w:bCs/>
                <w:kern w:val="0"/>
              </w:rPr>
            </w:pPr>
          </w:p>
        </w:tc>
        <w:tc>
          <w:tcPr>
            <w:tcW w:w="510" w:type="pct"/>
            <w:vAlign w:val="center"/>
          </w:tcPr>
          <w:p w14:paraId="71E38A54">
            <w:pPr>
              <w:widowControl/>
              <w:jc w:val="center"/>
              <w:rPr>
                <w:bCs/>
                <w:kern w:val="0"/>
              </w:rPr>
            </w:pPr>
            <w:r>
              <w:rPr>
                <w:rFonts w:hint="eastAsia"/>
                <w:bCs/>
                <w:kern w:val="0"/>
              </w:rPr>
              <w:t>200</w:t>
            </w:r>
          </w:p>
        </w:tc>
        <w:tc>
          <w:tcPr>
            <w:tcW w:w="434" w:type="pct"/>
            <w:vAlign w:val="center"/>
          </w:tcPr>
          <w:p w14:paraId="413E9B45">
            <w:pPr>
              <w:widowControl/>
              <w:jc w:val="center"/>
              <w:rPr>
                <w:bCs/>
                <w:kern w:val="0"/>
              </w:rPr>
            </w:pPr>
            <w:r>
              <w:rPr>
                <w:rFonts w:hint="eastAsia"/>
                <w:bCs/>
                <w:kern w:val="0"/>
              </w:rPr>
              <w:t>0.064</w:t>
            </w:r>
          </w:p>
        </w:tc>
        <w:tc>
          <w:tcPr>
            <w:tcW w:w="220" w:type="pct"/>
            <w:vMerge w:val="continue"/>
            <w:vAlign w:val="center"/>
          </w:tcPr>
          <w:p w14:paraId="19D78F7E">
            <w:pPr>
              <w:widowControl/>
              <w:jc w:val="center"/>
              <w:rPr>
                <w:bCs/>
                <w:kern w:val="0"/>
              </w:rPr>
            </w:pPr>
          </w:p>
        </w:tc>
        <w:tc>
          <w:tcPr>
            <w:tcW w:w="223" w:type="pct"/>
            <w:vMerge w:val="continue"/>
            <w:vAlign w:val="center"/>
          </w:tcPr>
          <w:p w14:paraId="7DA89E0D">
            <w:pPr>
              <w:widowControl/>
              <w:jc w:val="center"/>
              <w:rPr>
                <w:bCs/>
                <w:kern w:val="0"/>
              </w:rPr>
            </w:pPr>
          </w:p>
        </w:tc>
        <w:tc>
          <w:tcPr>
            <w:tcW w:w="210" w:type="pct"/>
            <w:vMerge w:val="continue"/>
            <w:vAlign w:val="center"/>
          </w:tcPr>
          <w:p w14:paraId="48C44B4A">
            <w:pPr>
              <w:widowControl/>
              <w:jc w:val="center"/>
              <w:rPr>
                <w:bCs/>
                <w:kern w:val="0"/>
              </w:rPr>
            </w:pPr>
          </w:p>
        </w:tc>
        <w:tc>
          <w:tcPr>
            <w:tcW w:w="379" w:type="pct"/>
            <w:vMerge w:val="continue"/>
            <w:vAlign w:val="center"/>
          </w:tcPr>
          <w:p w14:paraId="2D892562">
            <w:pPr>
              <w:widowControl/>
              <w:jc w:val="center"/>
              <w:rPr>
                <w:bCs/>
                <w:kern w:val="0"/>
              </w:rPr>
            </w:pPr>
          </w:p>
        </w:tc>
        <w:tc>
          <w:tcPr>
            <w:tcW w:w="510" w:type="pct"/>
            <w:vAlign w:val="center"/>
          </w:tcPr>
          <w:p w14:paraId="016BEFBB">
            <w:pPr>
              <w:widowControl/>
              <w:jc w:val="center"/>
              <w:rPr>
                <w:bCs/>
                <w:kern w:val="0"/>
              </w:rPr>
            </w:pPr>
            <w:r>
              <w:rPr>
                <w:rFonts w:hint="eastAsia"/>
                <w:bCs/>
                <w:kern w:val="0"/>
              </w:rPr>
              <w:t>10</w:t>
            </w:r>
          </w:p>
        </w:tc>
        <w:tc>
          <w:tcPr>
            <w:tcW w:w="594" w:type="pct"/>
            <w:vAlign w:val="center"/>
          </w:tcPr>
          <w:p w14:paraId="24D88538">
            <w:pPr>
              <w:widowControl/>
              <w:jc w:val="center"/>
              <w:rPr>
                <w:bCs/>
                <w:kern w:val="0"/>
              </w:rPr>
            </w:pPr>
            <w:r>
              <w:rPr>
                <w:rFonts w:hint="eastAsia"/>
                <w:bCs/>
                <w:kern w:val="0"/>
              </w:rPr>
              <w:t>0.003</w:t>
            </w:r>
          </w:p>
        </w:tc>
        <w:tc>
          <w:tcPr>
            <w:tcW w:w="449" w:type="pct"/>
            <w:vAlign w:val="center"/>
          </w:tcPr>
          <w:p w14:paraId="217B763C">
            <w:pPr>
              <w:widowControl/>
              <w:jc w:val="center"/>
              <w:rPr>
                <w:bCs/>
                <w:kern w:val="0"/>
              </w:rPr>
            </w:pPr>
            <w:r>
              <w:rPr>
                <w:rFonts w:hint="eastAsia"/>
                <w:bCs/>
                <w:kern w:val="0"/>
              </w:rPr>
              <w:t>300</w:t>
            </w:r>
          </w:p>
        </w:tc>
      </w:tr>
      <w:tr w14:paraId="440B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6" w:hRule="atLeast"/>
          <w:jc w:val="center"/>
        </w:trPr>
        <w:tc>
          <w:tcPr>
            <w:tcW w:w="155" w:type="pct"/>
            <w:vMerge w:val="restart"/>
            <w:vAlign w:val="center"/>
          </w:tcPr>
          <w:p w14:paraId="27C02A56">
            <w:pPr>
              <w:widowControl/>
              <w:jc w:val="center"/>
              <w:rPr>
                <w:rFonts w:hint="default" w:eastAsia="宋体"/>
                <w:bCs/>
                <w:kern w:val="0"/>
                <w:lang w:val="en-US" w:eastAsia="zh-CN"/>
              </w:rPr>
            </w:pPr>
            <w:r>
              <w:rPr>
                <w:rFonts w:hint="eastAsia"/>
                <w:bCs/>
                <w:kern w:val="0"/>
                <w:lang w:val="en-US" w:eastAsia="zh-CN"/>
              </w:rPr>
              <w:t>水帘</w:t>
            </w:r>
          </w:p>
        </w:tc>
        <w:tc>
          <w:tcPr>
            <w:tcW w:w="164" w:type="pct"/>
            <w:vMerge w:val="restart"/>
            <w:vAlign w:val="center"/>
          </w:tcPr>
          <w:p w14:paraId="1224EA38">
            <w:pPr>
              <w:widowControl/>
              <w:jc w:val="center"/>
              <w:rPr>
                <w:bCs/>
                <w:kern w:val="0"/>
              </w:rPr>
            </w:pPr>
            <w:r>
              <w:rPr>
                <w:rFonts w:hint="eastAsia"/>
                <w:bCs/>
                <w:kern w:val="0"/>
              </w:rPr>
              <w:t>--</w:t>
            </w:r>
          </w:p>
        </w:tc>
        <w:tc>
          <w:tcPr>
            <w:tcW w:w="176" w:type="pct"/>
            <w:vMerge w:val="restart"/>
            <w:vAlign w:val="center"/>
          </w:tcPr>
          <w:p w14:paraId="2D3A0E52">
            <w:pPr>
              <w:widowControl/>
              <w:jc w:val="center"/>
              <w:rPr>
                <w:bCs/>
                <w:kern w:val="0"/>
              </w:rPr>
            </w:pPr>
            <w:r>
              <w:rPr>
                <w:rFonts w:hint="eastAsia"/>
                <w:bCs/>
                <w:kern w:val="0"/>
              </w:rPr>
              <w:t>水帘废水</w:t>
            </w:r>
          </w:p>
        </w:tc>
        <w:tc>
          <w:tcPr>
            <w:tcW w:w="384" w:type="pct"/>
            <w:vAlign w:val="center"/>
          </w:tcPr>
          <w:p w14:paraId="274422D0">
            <w:pPr>
              <w:widowControl/>
              <w:jc w:val="center"/>
              <w:rPr>
                <w:bCs/>
                <w:kern w:val="0"/>
              </w:rPr>
            </w:pPr>
            <w:r>
              <w:rPr>
                <w:rFonts w:hint="eastAsia"/>
                <w:bCs/>
                <w:kern w:val="0"/>
              </w:rPr>
              <w:t>CODCr</w:t>
            </w:r>
          </w:p>
        </w:tc>
        <w:tc>
          <w:tcPr>
            <w:tcW w:w="206" w:type="pct"/>
            <w:vMerge w:val="restart"/>
            <w:vAlign w:val="center"/>
          </w:tcPr>
          <w:p w14:paraId="7BF85E89">
            <w:pPr>
              <w:widowControl/>
              <w:jc w:val="center"/>
              <w:rPr>
                <w:bCs/>
                <w:kern w:val="0"/>
              </w:rPr>
            </w:pPr>
            <w:r>
              <w:rPr>
                <w:rFonts w:hint="eastAsia"/>
                <w:bCs/>
                <w:kern w:val="0"/>
              </w:rPr>
              <w:t>类比法</w:t>
            </w:r>
          </w:p>
        </w:tc>
        <w:tc>
          <w:tcPr>
            <w:tcW w:w="379" w:type="pct"/>
            <w:vMerge w:val="restart"/>
            <w:vAlign w:val="center"/>
          </w:tcPr>
          <w:p w14:paraId="024FB595">
            <w:pPr>
              <w:widowControl/>
              <w:jc w:val="center"/>
              <w:rPr>
                <w:rFonts w:hint="default" w:eastAsia="宋体"/>
                <w:bCs/>
                <w:kern w:val="0"/>
                <w:lang w:val="en-US" w:eastAsia="zh-CN"/>
              </w:rPr>
            </w:pPr>
            <w:r>
              <w:rPr>
                <w:rFonts w:hint="eastAsia"/>
                <w:color w:val="000000"/>
                <w:kern w:val="0"/>
                <w:lang w:val="en-US" w:eastAsia="zh-CN" w:bidi="ar"/>
              </w:rPr>
              <w:t>48</w:t>
            </w:r>
          </w:p>
        </w:tc>
        <w:tc>
          <w:tcPr>
            <w:tcW w:w="510" w:type="pct"/>
            <w:vAlign w:val="center"/>
          </w:tcPr>
          <w:p w14:paraId="46F5BE1D">
            <w:pPr>
              <w:widowControl/>
              <w:jc w:val="center"/>
              <w:rPr>
                <w:rFonts w:hint="default" w:eastAsia="宋体"/>
                <w:bCs/>
                <w:color w:val="FF0000"/>
                <w:kern w:val="0"/>
                <w:lang w:val="en-US" w:eastAsia="zh-CN"/>
              </w:rPr>
            </w:pPr>
            <w:r>
              <w:rPr>
                <w:rFonts w:hint="eastAsia"/>
                <w:bCs/>
                <w:color w:val="FF0000"/>
                <w:kern w:val="0"/>
                <w:lang w:val="en-US" w:eastAsia="zh-CN"/>
              </w:rPr>
              <w:t>4000</w:t>
            </w:r>
          </w:p>
        </w:tc>
        <w:tc>
          <w:tcPr>
            <w:tcW w:w="434" w:type="pct"/>
            <w:vAlign w:val="center"/>
          </w:tcPr>
          <w:p w14:paraId="5C8B4616">
            <w:pPr>
              <w:widowControl/>
              <w:jc w:val="center"/>
              <w:rPr>
                <w:rFonts w:hint="default" w:eastAsia="宋体"/>
                <w:bCs/>
                <w:color w:val="FF0000"/>
                <w:kern w:val="0"/>
                <w:lang w:val="en-US" w:eastAsia="zh-CN"/>
              </w:rPr>
            </w:pPr>
            <w:r>
              <w:rPr>
                <w:rFonts w:hint="eastAsia"/>
                <w:bCs/>
                <w:color w:val="FF0000"/>
                <w:kern w:val="0"/>
              </w:rPr>
              <w:t>0.</w:t>
            </w:r>
            <w:r>
              <w:rPr>
                <w:rFonts w:hint="eastAsia"/>
                <w:bCs/>
                <w:color w:val="FF0000"/>
                <w:kern w:val="0"/>
                <w:lang w:val="en-US" w:eastAsia="zh-CN"/>
              </w:rPr>
              <w:t>192</w:t>
            </w:r>
          </w:p>
        </w:tc>
        <w:tc>
          <w:tcPr>
            <w:tcW w:w="220" w:type="pct"/>
            <w:vMerge w:val="restart"/>
            <w:vAlign w:val="center"/>
          </w:tcPr>
          <w:p w14:paraId="660CABE2">
            <w:pPr>
              <w:widowControl/>
              <w:jc w:val="center"/>
              <w:rPr>
                <w:bCs/>
                <w:kern w:val="0"/>
              </w:rPr>
            </w:pPr>
            <w:r>
              <w:rPr>
                <w:rFonts w:hint="eastAsia"/>
                <w:bCs/>
                <w:kern w:val="0"/>
              </w:rPr>
              <w:t>混凝沉淀+过滤</w:t>
            </w:r>
          </w:p>
        </w:tc>
        <w:tc>
          <w:tcPr>
            <w:tcW w:w="223" w:type="pct"/>
            <w:vAlign w:val="center"/>
          </w:tcPr>
          <w:p w14:paraId="0F2ADA8A">
            <w:pPr>
              <w:widowControl/>
              <w:jc w:val="center"/>
              <w:rPr>
                <w:bCs/>
                <w:kern w:val="0"/>
              </w:rPr>
            </w:pPr>
            <w:r>
              <w:rPr>
                <w:rFonts w:hint="eastAsia"/>
                <w:bCs/>
                <w:kern w:val="0"/>
              </w:rPr>
              <w:t>--</w:t>
            </w:r>
          </w:p>
        </w:tc>
        <w:tc>
          <w:tcPr>
            <w:tcW w:w="210" w:type="pct"/>
            <w:vMerge w:val="restart"/>
            <w:vAlign w:val="center"/>
          </w:tcPr>
          <w:p w14:paraId="7A0EA703">
            <w:pPr>
              <w:widowControl/>
              <w:jc w:val="center"/>
              <w:rPr>
                <w:bCs/>
                <w:kern w:val="0"/>
              </w:rPr>
            </w:pPr>
            <w:r>
              <w:rPr>
                <w:rFonts w:hint="eastAsia"/>
                <w:bCs/>
                <w:kern w:val="0"/>
              </w:rPr>
              <w:t>达标排放</w:t>
            </w:r>
          </w:p>
        </w:tc>
        <w:tc>
          <w:tcPr>
            <w:tcW w:w="379" w:type="pct"/>
            <w:vMerge w:val="restart"/>
            <w:vAlign w:val="center"/>
          </w:tcPr>
          <w:p w14:paraId="1F2A17DA">
            <w:pPr>
              <w:widowControl/>
              <w:jc w:val="center"/>
              <w:rPr>
                <w:rFonts w:hint="default" w:eastAsia="宋体"/>
                <w:bCs/>
                <w:kern w:val="0"/>
                <w:lang w:val="en-US" w:eastAsia="zh-CN"/>
              </w:rPr>
            </w:pPr>
            <w:r>
              <w:rPr>
                <w:rFonts w:hint="eastAsia"/>
                <w:color w:val="000000"/>
                <w:kern w:val="0"/>
                <w:lang w:val="en-US" w:eastAsia="zh-CN" w:bidi="ar"/>
              </w:rPr>
              <w:t>48</w:t>
            </w:r>
          </w:p>
        </w:tc>
        <w:tc>
          <w:tcPr>
            <w:tcW w:w="510" w:type="pct"/>
            <w:vAlign w:val="center"/>
          </w:tcPr>
          <w:p w14:paraId="2CE1C01E">
            <w:pPr>
              <w:widowControl/>
              <w:jc w:val="center"/>
              <w:rPr>
                <w:bCs/>
                <w:kern w:val="0"/>
              </w:rPr>
            </w:pPr>
            <w:r>
              <w:rPr>
                <w:rFonts w:hint="eastAsia"/>
                <w:bCs/>
                <w:kern w:val="0"/>
              </w:rPr>
              <w:t>40</w:t>
            </w:r>
          </w:p>
        </w:tc>
        <w:tc>
          <w:tcPr>
            <w:tcW w:w="594" w:type="pct"/>
            <w:vAlign w:val="center"/>
          </w:tcPr>
          <w:p w14:paraId="6B940208">
            <w:pPr>
              <w:widowControl/>
              <w:jc w:val="center"/>
              <w:rPr>
                <w:bCs/>
                <w:kern w:val="0"/>
              </w:rPr>
            </w:pPr>
            <w:r>
              <w:rPr>
                <w:rFonts w:hint="eastAsia"/>
                <w:bCs/>
                <w:kern w:val="0"/>
              </w:rPr>
              <w:t>0.00</w:t>
            </w:r>
            <w:r>
              <w:rPr>
                <w:rFonts w:hint="eastAsia"/>
                <w:bCs/>
                <w:kern w:val="0"/>
                <w:lang w:val="en-US" w:eastAsia="zh-CN"/>
              </w:rPr>
              <w:t>2</w:t>
            </w:r>
          </w:p>
        </w:tc>
        <w:tc>
          <w:tcPr>
            <w:tcW w:w="449" w:type="pct"/>
            <w:vAlign w:val="center"/>
          </w:tcPr>
          <w:p w14:paraId="281EE385">
            <w:pPr>
              <w:widowControl/>
              <w:jc w:val="center"/>
              <w:rPr>
                <w:bCs/>
                <w:kern w:val="0"/>
              </w:rPr>
            </w:pPr>
            <w:r>
              <w:rPr>
                <w:rFonts w:hint="eastAsia"/>
                <w:bCs/>
                <w:kern w:val="0"/>
              </w:rPr>
              <w:t>300</w:t>
            </w:r>
          </w:p>
        </w:tc>
      </w:tr>
      <w:tr w14:paraId="402A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continue"/>
            <w:vAlign w:val="center"/>
          </w:tcPr>
          <w:p w14:paraId="7BDC51B8">
            <w:pPr>
              <w:widowControl/>
              <w:jc w:val="center"/>
              <w:rPr>
                <w:bCs/>
                <w:kern w:val="0"/>
              </w:rPr>
            </w:pPr>
          </w:p>
        </w:tc>
        <w:tc>
          <w:tcPr>
            <w:tcW w:w="164" w:type="pct"/>
            <w:vMerge w:val="continue"/>
            <w:vAlign w:val="center"/>
          </w:tcPr>
          <w:p w14:paraId="4E380D15">
            <w:pPr>
              <w:widowControl/>
              <w:jc w:val="center"/>
              <w:rPr>
                <w:bCs/>
                <w:kern w:val="0"/>
              </w:rPr>
            </w:pPr>
          </w:p>
        </w:tc>
        <w:tc>
          <w:tcPr>
            <w:tcW w:w="176" w:type="pct"/>
            <w:vMerge w:val="continue"/>
            <w:vAlign w:val="center"/>
          </w:tcPr>
          <w:p w14:paraId="575AC79A">
            <w:pPr>
              <w:widowControl/>
              <w:jc w:val="center"/>
              <w:rPr>
                <w:bCs/>
                <w:kern w:val="0"/>
              </w:rPr>
            </w:pPr>
          </w:p>
        </w:tc>
        <w:tc>
          <w:tcPr>
            <w:tcW w:w="384" w:type="pct"/>
            <w:vAlign w:val="center"/>
          </w:tcPr>
          <w:p w14:paraId="50A84B24">
            <w:pPr>
              <w:widowControl/>
              <w:jc w:val="center"/>
              <w:rPr>
                <w:bCs/>
                <w:kern w:val="0"/>
              </w:rPr>
            </w:pPr>
            <w:r>
              <w:rPr>
                <w:rFonts w:hint="eastAsia"/>
                <w:bCs/>
                <w:kern w:val="0"/>
              </w:rPr>
              <w:t>SS</w:t>
            </w:r>
          </w:p>
        </w:tc>
        <w:tc>
          <w:tcPr>
            <w:tcW w:w="206" w:type="pct"/>
            <w:vMerge w:val="continue"/>
            <w:vAlign w:val="center"/>
          </w:tcPr>
          <w:p w14:paraId="63578901">
            <w:pPr>
              <w:widowControl/>
              <w:jc w:val="center"/>
              <w:rPr>
                <w:bCs/>
                <w:kern w:val="0"/>
              </w:rPr>
            </w:pPr>
          </w:p>
        </w:tc>
        <w:tc>
          <w:tcPr>
            <w:tcW w:w="379" w:type="pct"/>
            <w:vMerge w:val="continue"/>
            <w:vAlign w:val="center"/>
          </w:tcPr>
          <w:p w14:paraId="302FDEE7">
            <w:pPr>
              <w:widowControl/>
              <w:jc w:val="center"/>
              <w:rPr>
                <w:bCs/>
                <w:kern w:val="0"/>
              </w:rPr>
            </w:pPr>
          </w:p>
        </w:tc>
        <w:tc>
          <w:tcPr>
            <w:tcW w:w="510" w:type="pct"/>
            <w:vAlign w:val="center"/>
          </w:tcPr>
          <w:p w14:paraId="37872134">
            <w:pPr>
              <w:widowControl/>
              <w:jc w:val="center"/>
              <w:rPr>
                <w:rFonts w:hint="default" w:eastAsia="宋体"/>
                <w:bCs/>
                <w:color w:val="FF0000"/>
                <w:kern w:val="0"/>
                <w:lang w:val="en-US" w:eastAsia="zh-CN"/>
              </w:rPr>
            </w:pPr>
            <w:r>
              <w:rPr>
                <w:rFonts w:hint="eastAsia"/>
                <w:bCs/>
                <w:color w:val="FF0000"/>
                <w:kern w:val="0"/>
                <w:lang w:val="en-US" w:eastAsia="zh-CN"/>
              </w:rPr>
              <w:t>200</w:t>
            </w:r>
          </w:p>
        </w:tc>
        <w:tc>
          <w:tcPr>
            <w:tcW w:w="434" w:type="pct"/>
            <w:vAlign w:val="center"/>
          </w:tcPr>
          <w:p w14:paraId="5611A733">
            <w:pPr>
              <w:widowControl/>
              <w:jc w:val="center"/>
              <w:rPr>
                <w:rFonts w:hint="default" w:eastAsia="宋体"/>
                <w:bCs/>
                <w:color w:val="FF0000"/>
                <w:kern w:val="0"/>
                <w:lang w:val="en-US" w:eastAsia="zh-CN"/>
              </w:rPr>
            </w:pPr>
            <w:r>
              <w:rPr>
                <w:rFonts w:hint="eastAsia"/>
                <w:bCs/>
                <w:color w:val="FF0000"/>
                <w:kern w:val="0"/>
              </w:rPr>
              <w:t>0.0</w:t>
            </w:r>
            <w:r>
              <w:rPr>
                <w:rFonts w:hint="eastAsia"/>
                <w:bCs/>
                <w:color w:val="FF0000"/>
                <w:kern w:val="0"/>
                <w:lang w:val="en-US" w:eastAsia="zh-CN"/>
              </w:rPr>
              <w:t>96</w:t>
            </w:r>
          </w:p>
        </w:tc>
        <w:tc>
          <w:tcPr>
            <w:tcW w:w="220" w:type="pct"/>
            <w:vMerge w:val="continue"/>
            <w:vAlign w:val="center"/>
          </w:tcPr>
          <w:p w14:paraId="7E482B29">
            <w:pPr>
              <w:widowControl/>
              <w:jc w:val="center"/>
              <w:rPr>
                <w:bCs/>
                <w:kern w:val="0"/>
              </w:rPr>
            </w:pPr>
          </w:p>
        </w:tc>
        <w:tc>
          <w:tcPr>
            <w:tcW w:w="223" w:type="pct"/>
            <w:vAlign w:val="center"/>
          </w:tcPr>
          <w:p w14:paraId="31ACC9B8">
            <w:pPr>
              <w:widowControl/>
              <w:jc w:val="center"/>
              <w:rPr>
                <w:bCs/>
                <w:kern w:val="0"/>
              </w:rPr>
            </w:pPr>
            <w:r>
              <w:rPr>
                <w:rFonts w:hint="eastAsia"/>
                <w:bCs/>
                <w:kern w:val="0"/>
              </w:rPr>
              <w:t>--</w:t>
            </w:r>
          </w:p>
        </w:tc>
        <w:tc>
          <w:tcPr>
            <w:tcW w:w="210" w:type="pct"/>
            <w:vMerge w:val="continue"/>
            <w:vAlign w:val="center"/>
          </w:tcPr>
          <w:p w14:paraId="4CC35B34">
            <w:pPr>
              <w:widowControl/>
              <w:jc w:val="center"/>
              <w:rPr>
                <w:bCs/>
                <w:kern w:val="0"/>
              </w:rPr>
            </w:pPr>
          </w:p>
        </w:tc>
        <w:tc>
          <w:tcPr>
            <w:tcW w:w="379" w:type="pct"/>
            <w:vMerge w:val="continue"/>
            <w:vAlign w:val="center"/>
          </w:tcPr>
          <w:p w14:paraId="7D8EBF0A">
            <w:pPr>
              <w:widowControl/>
              <w:jc w:val="center"/>
              <w:rPr>
                <w:bCs/>
                <w:kern w:val="0"/>
              </w:rPr>
            </w:pPr>
          </w:p>
        </w:tc>
        <w:tc>
          <w:tcPr>
            <w:tcW w:w="510" w:type="pct"/>
            <w:vAlign w:val="center"/>
          </w:tcPr>
          <w:p w14:paraId="6843EB13">
            <w:pPr>
              <w:widowControl/>
              <w:jc w:val="center"/>
              <w:rPr>
                <w:bCs/>
                <w:kern w:val="0"/>
              </w:rPr>
            </w:pPr>
            <w:r>
              <w:rPr>
                <w:rFonts w:hint="eastAsia"/>
                <w:bCs/>
                <w:kern w:val="0"/>
              </w:rPr>
              <w:t>10</w:t>
            </w:r>
          </w:p>
        </w:tc>
        <w:tc>
          <w:tcPr>
            <w:tcW w:w="594" w:type="pct"/>
            <w:vAlign w:val="center"/>
          </w:tcPr>
          <w:p w14:paraId="109E2F44">
            <w:pPr>
              <w:widowControl/>
              <w:jc w:val="center"/>
              <w:rPr>
                <w:bCs/>
                <w:kern w:val="0"/>
              </w:rPr>
            </w:pPr>
            <w:r>
              <w:rPr>
                <w:rFonts w:hint="eastAsia"/>
                <w:bCs/>
                <w:kern w:val="0"/>
              </w:rPr>
              <w:t>0.001</w:t>
            </w:r>
          </w:p>
        </w:tc>
        <w:tc>
          <w:tcPr>
            <w:tcW w:w="449" w:type="pct"/>
            <w:vAlign w:val="center"/>
          </w:tcPr>
          <w:p w14:paraId="1F8804BE">
            <w:pPr>
              <w:widowControl/>
              <w:jc w:val="center"/>
              <w:rPr>
                <w:bCs/>
                <w:kern w:val="0"/>
              </w:rPr>
            </w:pPr>
            <w:r>
              <w:rPr>
                <w:rFonts w:hint="eastAsia"/>
                <w:bCs/>
                <w:kern w:val="0"/>
              </w:rPr>
              <w:t>300</w:t>
            </w:r>
          </w:p>
        </w:tc>
      </w:tr>
      <w:tr w14:paraId="1561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55" w:type="pct"/>
            <w:vMerge w:val="restart"/>
            <w:vAlign w:val="center"/>
          </w:tcPr>
          <w:p w14:paraId="422D7434">
            <w:pPr>
              <w:widowControl/>
              <w:jc w:val="center"/>
              <w:rPr>
                <w:bCs/>
                <w:kern w:val="0"/>
              </w:rPr>
            </w:pPr>
            <w:r>
              <w:rPr>
                <w:rFonts w:hint="eastAsia"/>
                <w:bCs/>
                <w:kern w:val="0"/>
              </w:rPr>
              <w:t>合计</w:t>
            </w:r>
          </w:p>
        </w:tc>
        <w:tc>
          <w:tcPr>
            <w:tcW w:w="164" w:type="pct"/>
            <w:vMerge w:val="restart"/>
            <w:vAlign w:val="center"/>
          </w:tcPr>
          <w:p w14:paraId="64CFB433">
            <w:pPr>
              <w:widowControl/>
              <w:jc w:val="center"/>
              <w:rPr>
                <w:bCs/>
                <w:kern w:val="0"/>
              </w:rPr>
            </w:pPr>
            <w:r>
              <w:rPr>
                <w:rFonts w:hint="eastAsia"/>
                <w:bCs/>
                <w:kern w:val="0"/>
              </w:rPr>
              <w:t>--</w:t>
            </w:r>
          </w:p>
        </w:tc>
        <w:tc>
          <w:tcPr>
            <w:tcW w:w="176" w:type="pct"/>
            <w:vMerge w:val="restart"/>
            <w:vAlign w:val="center"/>
          </w:tcPr>
          <w:p w14:paraId="0F40E30B">
            <w:pPr>
              <w:widowControl/>
              <w:jc w:val="center"/>
              <w:rPr>
                <w:bCs/>
                <w:kern w:val="0"/>
              </w:rPr>
            </w:pPr>
            <w:r>
              <w:rPr>
                <w:rFonts w:hint="eastAsia"/>
                <w:bCs/>
                <w:kern w:val="0"/>
              </w:rPr>
              <w:t>综合废水</w:t>
            </w:r>
          </w:p>
        </w:tc>
        <w:tc>
          <w:tcPr>
            <w:tcW w:w="384" w:type="pct"/>
            <w:shd w:val="clear" w:color="auto" w:fill="auto"/>
            <w:vAlign w:val="center"/>
          </w:tcPr>
          <w:p w14:paraId="4752E0A8">
            <w:pPr>
              <w:widowControl/>
              <w:jc w:val="center"/>
              <w:rPr>
                <w:bCs/>
                <w:kern w:val="0"/>
              </w:rPr>
            </w:pPr>
            <w:r>
              <w:rPr>
                <w:rFonts w:hint="eastAsia"/>
                <w:bCs/>
                <w:kern w:val="0"/>
              </w:rPr>
              <w:t>CODCr</w:t>
            </w:r>
          </w:p>
        </w:tc>
        <w:tc>
          <w:tcPr>
            <w:tcW w:w="206" w:type="pct"/>
            <w:vMerge w:val="restart"/>
            <w:vAlign w:val="center"/>
          </w:tcPr>
          <w:p w14:paraId="518167B2">
            <w:pPr>
              <w:widowControl/>
              <w:jc w:val="center"/>
              <w:rPr>
                <w:bCs/>
                <w:kern w:val="0"/>
              </w:rPr>
            </w:pPr>
            <w:r>
              <w:rPr>
                <w:rFonts w:hint="eastAsia"/>
                <w:bCs/>
                <w:kern w:val="0"/>
              </w:rPr>
              <w:t>类比法</w:t>
            </w:r>
          </w:p>
        </w:tc>
        <w:tc>
          <w:tcPr>
            <w:tcW w:w="379" w:type="pct"/>
            <w:vMerge w:val="restart"/>
            <w:vAlign w:val="center"/>
          </w:tcPr>
          <w:p w14:paraId="6C73E942">
            <w:pPr>
              <w:widowControl/>
              <w:jc w:val="center"/>
              <w:rPr>
                <w:bCs/>
                <w:kern w:val="0"/>
              </w:rPr>
            </w:pPr>
            <w:r>
              <w:rPr>
                <w:rFonts w:hint="eastAsia"/>
                <w:bCs/>
                <w:kern w:val="0"/>
              </w:rPr>
              <w:t>3</w:t>
            </w:r>
            <w:r>
              <w:rPr>
                <w:rFonts w:hint="eastAsia"/>
                <w:bCs/>
                <w:kern w:val="0"/>
                <w:lang w:val="en-US" w:eastAsia="zh-CN"/>
              </w:rPr>
              <w:t>66</w:t>
            </w:r>
            <w:r>
              <w:rPr>
                <w:rFonts w:hint="eastAsia"/>
                <w:bCs/>
                <w:kern w:val="0"/>
              </w:rPr>
              <w:t>.75</w:t>
            </w:r>
          </w:p>
        </w:tc>
        <w:tc>
          <w:tcPr>
            <w:tcW w:w="510" w:type="pct"/>
            <w:vAlign w:val="center"/>
          </w:tcPr>
          <w:p w14:paraId="35C881C3">
            <w:pPr>
              <w:widowControl/>
              <w:jc w:val="center"/>
              <w:rPr>
                <w:bCs/>
                <w:kern w:val="0"/>
              </w:rPr>
            </w:pPr>
            <w:r>
              <w:rPr>
                <w:rFonts w:hint="eastAsia"/>
                <w:bCs/>
                <w:kern w:val="0"/>
              </w:rPr>
              <w:t>--</w:t>
            </w:r>
          </w:p>
        </w:tc>
        <w:tc>
          <w:tcPr>
            <w:tcW w:w="434" w:type="pct"/>
            <w:vAlign w:val="center"/>
          </w:tcPr>
          <w:p w14:paraId="6826E82F">
            <w:pPr>
              <w:widowControl/>
              <w:jc w:val="center"/>
              <w:rPr>
                <w:bCs/>
                <w:color w:val="FF0000"/>
                <w:kern w:val="0"/>
              </w:rPr>
            </w:pPr>
            <w:r>
              <w:rPr>
                <w:rFonts w:hint="eastAsia"/>
                <w:bCs/>
                <w:color w:val="FF0000"/>
                <w:kern w:val="0"/>
              </w:rPr>
              <w:t>0.</w:t>
            </w:r>
            <w:r>
              <w:rPr>
                <w:rFonts w:hint="eastAsia"/>
                <w:bCs/>
                <w:color w:val="FF0000"/>
                <w:kern w:val="0"/>
                <w:lang w:val="en-US" w:eastAsia="zh-CN"/>
              </w:rPr>
              <w:t>304</w:t>
            </w:r>
          </w:p>
        </w:tc>
        <w:tc>
          <w:tcPr>
            <w:tcW w:w="653" w:type="pct"/>
            <w:gridSpan w:val="3"/>
            <w:vMerge w:val="restart"/>
            <w:vAlign w:val="center"/>
          </w:tcPr>
          <w:p w14:paraId="37A644D1">
            <w:pPr>
              <w:widowControl/>
              <w:jc w:val="center"/>
              <w:rPr>
                <w:bCs/>
                <w:kern w:val="0"/>
              </w:rPr>
            </w:pPr>
            <w:r>
              <w:rPr>
                <w:rFonts w:hint="eastAsia"/>
                <w:bCs/>
                <w:kern w:val="0"/>
              </w:rPr>
              <w:t>/</w:t>
            </w:r>
          </w:p>
        </w:tc>
        <w:tc>
          <w:tcPr>
            <w:tcW w:w="379" w:type="pct"/>
            <w:vMerge w:val="restart"/>
            <w:vAlign w:val="center"/>
          </w:tcPr>
          <w:p w14:paraId="00AAD56E">
            <w:pPr>
              <w:widowControl/>
              <w:jc w:val="center"/>
              <w:rPr>
                <w:bCs/>
                <w:kern w:val="0"/>
              </w:rPr>
            </w:pPr>
            <w:r>
              <w:rPr>
                <w:rFonts w:hint="eastAsia"/>
                <w:bCs/>
                <w:kern w:val="0"/>
              </w:rPr>
              <w:t>3</w:t>
            </w:r>
            <w:r>
              <w:rPr>
                <w:rFonts w:hint="eastAsia"/>
                <w:bCs/>
                <w:kern w:val="0"/>
                <w:lang w:val="en-US" w:eastAsia="zh-CN"/>
              </w:rPr>
              <w:t>66</w:t>
            </w:r>
            <w:r>
              <w:rPr>
                <w:rFonts w:hint="eastAsia"/>
                <w:bCs/>
                <w:kern w:val="0"/>
              </w:rPr>
              <w:t>.75</w:t>
            </w:r>
          </w:p>
        </w:tc>
        <w:tc>
          <w:tcPr>
            <w:tcW w:w="510" w:type="pct"/>
            <w:vAlign w:val="center"/>
          </w:tcPr>
          <w:p w14:paraId="34CA85B9">
            <w:pPr>
              <w:widowControl/>
              <w:jc w:val="center"/>
              <w:rPr>
                <w:bCs/>
                <w:kern w:val="0"/>
              </w:rPr>
            </w:pPr>
            <w:r>
              <w:rPr>
                <w:rFonts w:hint="eastAsia"/>
                <w:bCs/>
                <w:kern w:val="0"/>
              </w:rPr>
              <w:t>40</w:t>
            </w:r>
          </w:p>
        </w:tc>
        <w:tc>
          <w:tcPr>
            <w:tcW w:w="594" w:type="pct"/>
            <w:vAlign w:val="center"/>
          </w:tcPr>
          <w:p w14:paraId="5878DCDA">
            <w:pPr>
              <w:widowControl/>
              <w:jc w:val="center"/>
              <w:rPr>
                <w:rFonts w:hint="eastAsia" w:eastAsia="宋体"/>
                <w:bCs/>
                <w:kern w:val="0"/>
                <w:lang w:eastAsia="zh-CN"/>
              </w:rPr>
            </w:pPr>
            <w:r>
              <w:rPr>
                <w:rFonts w:hint="eastAsia"/>
                <w:bCs/>
                <w:kern w:val="0"/>
              </w:rPr>
              <w:t>0.01</w:t>
            </w:r>
            <w:r>
              <w:rPr>
                <w:rFonts w:hint="eastAsia"/>
                <w:bCs/>
                <w:kern w:val="0"/>
                <w:lang w:val="en-US" w:eastAsia="zh-CN"/>
              </w:rPr>
              <w:t>5</w:t>
            </w:r>
          </w:p>
        </w:tc>
        <w:tc>
          <w:tcPr>
            <w:tcW w:w="449" w:type="pct"/>
            <w:vAlign w:val="center"/>
          </w:tcPr>
          <w:p w14:paraId="2FBD89F3">
            <w:pPr>
              <w:widowControl/>
              <w:jc w:val="center"/>
              <w:rPr>
                <w:bCs/>
                <w:kern w:val="0"/>
              </w:rPr>
            </w:pPr>
            <w:r>
              <w:rPr>
                <w:rFonts w:hint="eastAsia"/>
                <w:bCs/>
                <w:kern w:val="0"/>
              </w:rPr>
              <w:t>300</w:t>
            </w:r>
          </w:p>
        </w:tc>
      </w:tr>
      <w:tr w14:paraId="15A6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55" w:type="pct"/>
            <w:vMerge w:val="continue"/>
            <w:vAlign w:val="center"/>
          </w:tcPr>
          <w:p w14:paraId="6B300AA6">
            <w:pPr>
              <w:widowControl/>
              <w:jc w:val="center"/>
              <w:rPr>
                <w:bCs/>
                <w:kern w:val="0"/>
              </w:rPr>
            </w:pPr>
          </w:p>
        </w:tc>
        <w:tc>
          <w:tcPr>
            <w:tcW w:w="164" w:type="pct"/>
            <w:vMerge w:val="continue"/>
            <w:vAlign w:val="center"/>
          </w:tcPr>
          <w:p w14:paraId="2D156F40">
            <w:pPr>
              <w:widowControl/>
              <w:jc w:val="center"/>
              <w:rPr>
                <w:bCs/>
                <w:kern w:val="0"/>
              </w:rPr>
            </w:pPr>
          </w:p>
        </w:tc>
        <w:tc>
          <w:tcPr>
            <w:tcW w:w="176" w:type="pct"/>
            <w:vMerge w:val="continue"/>
            <w:vAlign w:val="center"/>
          </w:tcPr>
          <w:p w14:paraId="2A59C849">
            <w:pPr>
              <w:widowControl/>
              <w:jc w:val="center"/>
              <w:rPr>
                <w:bCs/>
                <w:kern w:val="0"/>
              </w:rPr>
            </w:pPr>
          </w:p>
        </w:tc>
        <w:tc>
          <w:tcPr>
            <w:tcW w:w="384" w:type="pct"/>
            <w:shd w:val="clear" w:color="auto" w:fill="auto"/>
            <w:vAlign w:val="center"/>
          </w:tcPr>
          <w:p w14:paraId="516570C9">
            <w:pPr>
              <w:widowControl/>
              <w:jc w:val="center"/>
              <w:rPr>
                <w:bCs/>
                <w:kern w:val="0"/>
              </w:rPr>
            </w:pPr>
            <w:r>
              <w:rPr>
                <w:rFonts w:hint="eastAsia"/>
                <w:bCs/>
                <w:kern w:val="0"/>
              </w:rPr>
              <w:t>NH</w:t>
            </w:r>
            <w:r>
              <w:rPr>
                <w:rFonts w:hint="eastAsia"/>
                <w:bCs/>
                <w:kern w:val="0"/>
                <w:vertAlign w:val="subscript"/>
              </w:rPr>
              <w:t>3</w:t>
            </w:r>
            <w:r>
              <w:rPr>
                <w:rFonts w:hint="eastAsia"/>
                <w:bCs/>
                <w:kern w:val="0"/>
              </w:rPr>
              <w:t>-N</w:t>
            </w:r>
          </w:p>
        </w:tc>
        <w:tc>
          <w:tcPr>
            <w:tcW w:w="206" w:type="pct"/>
            <w:vMerge w:val="continue"/>
            <w:vAlign w:val="center"/>
          </w:tcPr>
          <w:p w14:paraId="3BA4A7CF">
            <w:pPr>
              <w:widowControl/>
              <w:jc w:val="center"/>
              <w:rPr>
                <w:bCs/>
                <w:kern w:val="0"/>
              </w:rPr>
            </w:pPr>
          </w:p>
        </w:tc>
        <w:tc>
          <w:tcPr>
            <w:tcW w:w="379" w:type="pct"/>
            <w:vMerge w:val="continue"/>
            <w:vAlign w:val="center"/>
          </w:tcPr>
          <w:p w14:paraId="36C69368">
            <w:pPr>
              <w:widowControl/>
              <w:jc w:val="center"/>
              <w:rPr>
                <w:bCs/>
                <w:kern w:val="0"/>
              </w:rPr>
            </w:pPr>
          </w:p>
        </w:tc>
        <w:tc>
          <w:tcPr>
            <w:tcW w:w="510" w:type="pct"/>
            <w:shd w:val="clear" w:color="auto" w:fill="auto"/>
            <w:vAlign w:val="center"/>
          </w:tcPr>
          <w:p w14:paraId="7B11C323">
            <w:pPr>
              <w:widowControl/>
              <w:jc w:val="center"/>
              <w:rPr>
                <w:bCs/>
                <w:kern w:val="0"/>
              </w:rPr>
            </w:pPr>
            <w:r>
              <w:rPr>
                <w:rFonts w:hint="eastAsia"/>
                <w:bCs/>
                <w:kern w:val="0"/>
              </w:rPr>
              <w:t>--</w:t>
            </w:r>
          </w:p>
        </w:tc>
        <w:tc>
          <w:tcPr>
            <w:tcW w:w="434" w:type="pct"/>
            <w:shd w:val="clear" w:color="auto" w:fill="auto"/>
            <w:vAlign w:val="center"/>
          </w:tcPr>
          <w:p w14:paraId="7378050E">
            <w:pPr>
              <w:widowControl/>
              <w:jc w:val="center"/>
              <w:rPr>
                <w:bCs/>
                <w:color w:val="FF0000"/>
                <w:kern w:val="0"/>
              </w:rPr>
            </w:pPr>
            <w:r>
              <w:rPr>
                <w:rFonts w:hint="eastAsia"/>
                <w:bCs/>
                <w:color w:val="FF0000"/>
                <w:kern w:val="0"/>
              </w:rPr>
              <w:t>0.011</w:t>
            </w:r>
          </w:p>
        </w:tc>
        <w:tc>
          <w:tcPr>
            <w:tcW w:w="653" w:type="pct"/>
            <w:gridSpan w:val="3"/>
            <w:vMerge w:val="continue"/>
            <w:vAlign w:val="center"/>
          </w:tcPr>
          <w:p w14:paraId="5E66E74A">
            <w:pPr>
              <w:widowControl/>
              <w:jc w:val="center"/>
              <w:rPr>
                <w:bCs/>
                <w:kern w:val="0"/>
              </w:rPr>
            </w:pPr>
          </w:p>
        </w:tc>
        <w:tc>
          <w:tcPr>
            <w:tcW w:w="379" w:type="pct"/>
            <w:vMerge w:val="continue"/>
            <w:vAlign w:val="center"/>
          </w:tcPr>
          <w:p w14:paraId="2CC3EFCE">
            <w:pPr>
              <w:widowControl/>
              <w:jc w:val="center"/>
              <w:rPr>
                <w:bCs/>
                <w:kern w:val="0"/>
              </w:rPr>
            </w:pPr>
          </w:p>
        </w:tc>
        <w:tc>
          <w:tcPr>
            <w:tcW w:w="510" w:type="pct"/>
            <w:shd w:val="clear" w:color="auto" w:fill="auto"/>
            <w:vAlign w:val="center"/>
          </w:tcPr>
          <w:p w14:paraId="73D37737">
            <w:pPr>
              <w:widowControl/>
              <w:jc w:val="center"/>
              <w:rPr>
                <w:bCs/>
                <w:kern w:val="0"/>
              </w:rPr>
            </w:pPr>
            <w:r>
              <w:rPr>
                <w:rFonts w:hint="eastAsia"/>
                <w:bCs/>
                <w:kern w:val="0"/>
              </w:rPr>
              <w:t>2</w:t>
            </w:r>
          </w:p>
        </w:tc>
        <w:tc>
          <w:tcPr>
            <w:tcW w:w="594" w:type="pct"/>
            <w:shd w:val="clear" w:color="auto" w:fill="auto"/>
            <w:vAlign w:val="center"/>
          </w:tcPr>
          <w:p w14:paraId="129180D4">
            <w:pPr>
              <w:widowControl/>
              <w:jc w:val="center"/>
              <w:rPr>
                <w:bCs/>
                <w:kern w:val="0"/>
              </w:rPr>
            </w:pPr>
            <w:r>
              <w:rPr>
                <w:rFonts w:hint="eastAsia"/>
                <w:bCs/>
                <w:kern w:val="0"/>
              </w:rPr>
              <w:t>0.001</w:t>
            </w:r>
          </w:p>
        </w:tc>
        <w:tc>
          <w:tcPr>
            <w:tcW w:w="449" w:type="pct"/>
            <w:shd w:val="clear" w:color="auto" w:fill="auto"/>
            <w:vAlign w:val="center"/>
          </w:tcPr>
          <w:p w14:paraId="730804A1">
            <w:pPr>
              <w:widowControl/>
              <w:jc w:val="center"/>
              <w:rPr>
                <w:bCs/>
                <w:kern w:val="0"/>
              </w:rPr>
            </w:pPr>
            <w:r>
              <w:rPr>
                <w:rFonts w:hint="eastAsia"/>
                <w:bCs/>
                <w:kern w:val="0"/>
              </w:rPr>
              <w:t>300</w:t>
            </w:r>
          </w:p>
        </w:tc>
      </w:tr>
      <w:tr w14:paraId="71DD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55" w:type="pct"/>
            <w:vMerge w:val="continue"/>
            <w:vAlign w:val="center"/>
          </w:tcPr>
          <w:p w14:paraId="2E1CB018">
            <w:pPr>
              <w:widowControl/>
              <w:jc w:val="center"/>
              <w:rPr>
                <w:bCs/>
                <w:kern w:val="0"/>
              </w:rPr>
            </w:pPr>
          </w:p>
        </w:tc>
        <w:tc>
          <w:tcPr>
            <w:tcW w:w="164" w:type="pct"/>
            <w:vMerge w:val="continue"/>
            <w:vAlign w:val="center"/>
          </w:tcPr>
          <w:p w14:paraId="1D9C46E9">
            <w:pPr>
              <w:widowControl/>
              <w:jc w:val="center"/>
              <w:rPr>
                <w:bCs/>
                <w:kern w:val="0"/>
              </w:rPr>
            </w:pPr>
          </w:p>
        </w:tc>
        <w:tc>
          <w:tcPr>
            <w:tcW w:w="176" w:type="pct"/>
            <w:vMerge w:val="continue"/>
            <w:vAlign w:val="center"/>
          </w:tcPr>
          <w:p w14:paraId="0F592958">
            <w:pPr>
              <w:widowControl/>
              <w:jc w:val="center"/>
              <w:rPr>
                <w:bCs/>
                <w:kern w:val="0"/>
              </w:rPr>
            </w:pPr>
          </w:p>
        </w:tc>
        <w:tc>
          <w:tcPr>
            <w:tcW w:w="384" w:type="pct"/>
            <w:shd w:val="clear" w:color="auto" w:fill="auto"/>
            <w:vAlign w:val="center"/>
          </w:tcPr>
          <w:p w14:paraId="6A93E07F">
            <w:pPr>
              <w:widowControl/>
              <w:jc w:val="center"/>
              <w:rPr>
                <w:bCs/>
                <w:kern w:val="0"/>
              </w:rPr>
            </w:pPr>
            <w:r>
              <w:rPr>
                <w:rFonts w:hint="eastAsia"/>
                <w:bCs/>
                <w:kern w:val="0"/>
              </w:rPr>
              <w:t>SS</w:t>
            </w:r>
          </w:p>
        </w:tc>
        <w:tc>
          <w:tcPr>
            <w:tcW w:w="206" w:type="pct"/>
            <w:vMerge w:val="continue"/>
            <w:vAlign w:val="center"/>
          </w:tcPr>
          <w:p w14:paraId="46184592">
            <w:pPr>
              <w:widowControl/>
              <w:jc w:val="center"/>
              <w:rPr>
                <w:bCs/>
                <w:kern w:val="0"/>
              </w:rPr>
            </w:pPr>
          </w:p>
        </w:tc>
        <w:tc>
          <w:tcPr>
            <w:tcW w:w="379" w:type="pct"/>
            <w:vMerge w:val="continue"/>
            <w:vAlign w:val="center"/>
          </w:tcPr>
          <w:p w14:paraId="2C31DF49">
            <w:pPr>
              <w:widowControl/>
              <w:jc w:val="center"/>
              <w:rPr>
                <w:bCs/>
                <w:kern w:val="0"/>
              </w:rPr>
            </w:pPr>
          </w:p>
        </w:tc>
        <w:tc>
          <w:tcPr>
            <w:tcW w:w="510" w:type="pct"/>
            <w:vAlign w:val="center"/>
          </w:tcPr>
          <w:p w14:paraId="104FC6EB">
            <w:pPr>
              <w:widowControl/>
              <w:jc w:val="center"/>
              <w:rPr>
                <w:bCs/>
                <w:kern w:val="0"/>
              </w:rPr>
            </w:pPr>
            <w:r>
              <w:rPr>
                <w:rFonts w:hint="eastAsia"/>
                <w:bCs/>
                <w:kern w:val="0"/>
              </w:rPr>
              <w:t>--</w:t>
            </w:r>
          </w:p>
        </w:tc>
        <w:tc>
          <w:tcPr>
            <w:tcW w:w="434" w:type="pct"/>
            <w:vAlign w:val="center"/>
          </w:tcPr>
          <w:p w14:paraId="5F8EDF37">
            <w:pPr>
              <w:widowControl/>
              <w:jc w:val="center"/>
              <w:rPr>
                <w:bCs/>
                <w:color w:val="FF0000"/>
                <w:kern w:val="0"/>
              </w:rPr>
            </w:pPr>
            <w:r>
              <w:rPr>
                <w:rFonts w:hint="eastAsia"/>
                <w:bCs/>
                <w:color w:val="FF0000"/>
                <w:kern w:val="0"/>
              </w:rPr>
              <w:t>0.</w:t>
            </w:r>
            <w:r>
              <w:rPr>
                <w:rFonts w:hint="eastAsia"/>
                <w:bCs/>
                <w:color w:val="FF0000"/>
                <w:kern w:val="0"/>
                <w:lang w:val="en-US" w:eastAsia="zh-CN"/>
              </w:rPr>
              <w:t>16</w:t>
            </w:r>
          </w:p>
        </w:tc>
        <w:tc>
          <w:tcPr>
            <w:tcW w:w="653" w:type="pct"/>
            <w:gridSpan w:val="3"/>
            <w:vMerge w:val="continue"/>
            <w:vAlign w:val="center"/>
          </w:tcPr>
          <w:p w14:paraId="07162384">
            <w:pPr>
              <w:widowControl/>
              <w:jc w:val="center"/>
              <w:rPr>
                <w:bCs/>
                <w:kern w:val="0"/>
              </w:rPr>
            </w:pPr>
          </w:p>
        </w:tc>
        <w:tc>
          <w:tcPr>
            <w:tcW w:w="379" w:type="pct"/>
            <w:vMerge w:val="continue"/>
            <w:vAlign w:val="center"/>
          </w:tcPr>
          <w:p w14:paraId="775D2CF5">
            <w:pPr>
              <w:widowControl/>
              <w:jc w:val="center"/>
              <w:rPr>
                <w:bCs/>
                <w:kern w:val="0"/>
              </w:rPr>
            </w:pPr>
          </w:p>
        </w:tc>
        <w:tc>
          <w:tcPr>
            <w:tcW w:w="510" w:type="pct"/>
            <w:vAlign w:val="center"/>
          </w:tcPr>
          <w:p w14:paraId="4C92A113">
            <w:pPr>
              <w:widowControl/>
              <w:jc w:val="center"/>
              <w:rPr>
                <w:bCs/>
                <w:kern w:val="0"/>
              </w:rPr>
            </w:pPr>
            <w:r>
              <w:rPr>
                <w:rFonts w:hint="eastAsia"/>
                <w:bCs/>
                <w:kern w:val="0"/>
              </w:rPr>
              <w:t>10</w:t>
            </w:r>
          </w:p>
        </w:tc>
        <w:tc>
          <w:tcPr>
            <w:tcW w:w="594" w:type="pct"/>
            <w:vAlign w:val="center"/>
          </w:tcPr>
          <w:p w14:paraId="303A294C">
            <w:pPr>
              <w:widowControl/>
              <w:jc w:val="center"/>
              <w:rPr>
                <w:bCs/>
                <w:kern w:val="0"/>
              </w:rPr>
            </w:pPr>
            <w:r>
              <w:rPr>
                <w:rFonts w:hint="eastAsia"/>
                <w:bCs/>
                <w:kern w:val="0"/>
              </w:rPr>
              <w:t>0.003</w:t>
            </w:r>
          </w:p>
        </w:tc>
        <w:tc>
          <w:tcPr>
            <w:tcW w:w="449" w:type="pct"/>
            <w:vAlign w:val="center"/>
          </w:tcPr>
          <w:p w14:paraId="424F28D1">
            <w:pPr>
              <w:widowControl/>
              <w:jc w:val="center"/>
              <w:rPr>
                <w:bCs/>
                <w:kern w:val="0"/>
              </w:rPr>
            </w:pPr>
            <w:r>
              <w:rPr>
                <w:rFonts w:hint="eastAsia"/>
                <w:bCs/>
                <w:kern w:val="0"/>
              </w:rPr>
              <w:t>300</w:t>
            </w:r>
          </w:p>
        </w:tc>
      </w:tr>
    </w:tbl>
    <w:p w14:paraId="6293A8DF">
      <w:pPr>
        <w:adjustRightInd w:val="0"/>
        <w:snapToGrid w:val="0"/>
        <w:spacing w:line="360" w:lineRule="auto"/>
        <w:jc w:val="center"/>
        <w:rPr>
          <w:b/>
          <w:bCs/>
          <w:spacing w:val="-10"/>
        </w:rPr>
      </w:pPr>
      <w:r>
        <w:rPr>
          <w:rFonts w:hint="eastAsia"/>
          <w:b/>
          <w:bCs/>
          <w:spacing w:val="-10"/>
        </w:rPr>
        <w:t xml:space="preserve">表15    </w:t>
      </w:r>
      <w:r>
        <w:rPr>
          <w:b/>
          <w:bCs/>
          <w:spacing w:val="-10"/>
        </w:rPr>
        <w:t>废水类别、污染物及污染治理设施信息表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6"/>
        <w:gridCol w:w="967"/>
        <w:gridCol w:w="1275"/>
        <w:gridCol w:w="800"/>
        <w:gridCol w:w="637"/>
        <w:gridCol w:w="785"/>
        <w:gridCol w:w="964"/>
        <w:gridCol w:w="912"/>
        <w:gridCol w:w="831"/>
        <w:gridCol w:w="1182"/>
        <w:gridCol w:w="949"/>
      </w:tblGrid>
      <w:tr w14:paraId="199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restart"/>
            <w:vAlign w:val="center"/>
          </w:tcPr>
          <w:p w14:paraId="55C2613B">
            <w:pPr>
              <w:widowControl/>
              <w:jc w:val="center"/>
              <w:rPr>
                <w:bCs/>
                <w:kern w:val="0"/>
              </w:rPr>
            </w:pPr>
            <w:r>
              <w:rPr>
                <w:rFonts w:hint="eastAsia"/>
                <w:bCs/>
                <w:kern w:val="0"/>
              </w:rPr>
              <w:t>序号</w:t>
            </w:r>
          </w:p>
        </w:tc>
        <w:tc>
          <w:tcPr>
            <w:tcW w:w="504" w:type="pct"/>
            <w:vMerge w:val="restart"/>
            <w:vAlign w:val="center"/>
          </w:tcPr>
          <w:p w14:paraId="1D18F5B1">
            <w:pPr>
              <w:widowControl/>
              <w:jc w:val="center"/>
              <w:rPr>
                <w:bCs/>
                <w:kern w:val="0"/>
              </w:rPr>
            </w:pPr>
            <w:r>
              <w:rPr>
                <w:rFonts w:hint="eastAsia"/>
                <w:bCs/>
                <w:kern w:val="0"/>
              </w:rPr>
              <w:t>废水类别</w:t>
            </w:r>
          </w:p>
        </w:tc>
        <w:tc>
          <w:tcPr>
            <w:tcW w:w="664" w:type="pct"/>
            <w:vMerge w:val="restart"/>
            <w:vAlign w:val="center"/>
          </w:tcPr>
          <w:p w14:paraId="6196584C">
            <w:pPr>
              <w:widowControl/>
              <w:jc w:val="center"/>
              <w:rPr>
                <w:bCs/>
                <w:kern w:val="0"/>
              </w:rPr>
            </w:pPr>
            <w:r>
              <w:rPr>
                <w:rFonts w:hint="eastAsia"/>
                <w:bCs/>
                <w:kern w:val="0"/>
              </w:rPr>
              <w:t>污染物种类</w:t>
            </w:r>
          </w:p>
        </w:tc>
        <w:tc>
          <w:tcPr>
            <w:tcW w:w="417" w:type="pct"/>
            <w:vMerge w:val="restart"/>
            <w:vAlign w:val="center"/>
          </w:tcPr>
          <w:p w14:paraId="5FC64302">
            <w:pPr>
              <w:widowControl/>
              <w:jc w:val="center"/>
              <w:rPr>
                <w:bCs/>
                <w:kern w:val="0"/>
              </w:rPr>
            </w:pPr>
            <w:r>
              <w:rPr>
                <w:rFonts w:hint="eastAsia"/>
                <w:bCs/>
                <w:kern w:val="0"/>
              </w:rPr>
              <w:t>排放</w:t>
            </w:r>
          </w:p>
          <w:p w14:paraId="5405970A">
            <w:pPr>
              <w:widowControl/>
              <w:jc w:val="center"/>
              <w:rPr>
                <w:bCs/>
                <w:kern w:val="0"/>
              </w:rPr>
            </w:pPr>
            <w:r>
              <w:rPr>
                <w:rFonts w:hint="eastAsia"/>
                <w:bCs/>
                <w:kern w:val="0"/>
              </w:rPr>
              <w:t>去向</w:t>
            </w:r>
          </w:p>
        </w:tc>
        <w:tc>
          <w:tcPr>
            <w:tcW w:w="332" w:type="pct"/>
            <w:vMerge w:val="restart"/>
            <w:vAlign w:val="center"/>
          </w:tcPr>
          <w:p w14:paraId="75804960">
            <w:pPr>
              <w:widowControl/>
              <w:jc w:val="center"/>
              <w:rPr>
                <w:bCs/>
                <w:kern w:val="0"/>
              </w:rPr>
            </w:pPr>
            <w:r>
              <w:rPr>
                <w:rFonts w:hint="eastAsia"/>
                <w:bCs/>
                <w:kern w:val="0"/>
              </w:rPr>
              <w:t>排放规律</w:t>
            </w:r>
          </w:p>
        </w:tc>
        <w:tc>
          <w:tcPr>
            <w:tcW w:w="1386" w:type="pct"/>
            <w:gridSpan w:val="3"/>
            <w:vAlign w:val="center"/>
          </w:tcPr>
          <w:p w14:paraId="558BD38C">
            <w:pPr>
              <w:widowControl/>
              <w:jc w:val="center"/>
              <w:rPr>
                <w:bCs/>
                <w:kern w:val="0"/>
              </w:rPr>
            </w:pPr>
            <w:r>
              <w:rPr>
                <w:rFonts w:hint="eastAsia"/>
                <w:bCs/>
                <w:kern w:val="0"/>
              </w:rPr>
              <w:t>污染治理设施</w:t>
            </w:r>
          </w:p>
        </w:tc>
        <w:tc>
          <w:tcPr>
            <w:tcW w:w="433" w:type="pct"/>
            <w:vMerge w:val="restart"/>
            <w:vAlign w:val="center"/>
          </w:tcPr>
          <w:p w14:paraId="703F7C72">
            <w:pPr>
              <w:widowControl/>
              <w:jc w:val="center"/>
              <w:rPr>
                <w:bCs/>
                <w:kern w:val="0"/>
              </w:rPr>
            </w:pPr>
            <w:r>
              <w:rPr>
                <w:rFonts w:hint="eastAsia"/>
                <w:bCs/>
                <w:kern w:val="0"/>
              </w:rPr>
              <w:t>排放口编号</w:t>
            </w:r>
          </w:p>
        </w:tc>
        <w:tc>
          <w:tcPr>
            <w:tcW w:w="616" w:type="pct"/>
            <w:vMerge w:val="restart"/>
            <w:vAlign w:val="center"/>
          </w:tcPr>
          <w:p w14:paraId="4E961268">
            <w:pPr>
              <w:widowControl/>
              <w:jc w:val="center"/>
              <w:rPr>
                <w:bCs/>
                <w:kern w:val="0"/>
              </w:rPr>
            </w:pPr>
            <w:r>
              <w:rPr>
                <w:rFonts w:hint="eastAsia"/>
                <w:bCs/>
                <w:kern w:val="0"/>
              </w:rPr>
              <w:t>排放口设置是否符合要求</w:t>
            </w:r>
          </w:p>
        </w:tc>
        <w:tc>
          <w:tcPr>
            <w:tcW w:w="494" w:type="pct"/>
            <w:vMerge w:val="restart"/>
            <w:vAlign w:val="center"/>
          </w:tcPr>
          <w:p w14:paraId="6E4CF652">
            <w:pPr>
              <w:widowControl/>
              <w:jc w:val="center"/>
              <w:rPr>
                <w:bCs/>
                <w:kern w:val="0"/>
              </w:rPr>
            </w:pPr>
            <w:r>
              <w:rPr>
                <w:rFonts w:hint="eastAsia"/>
                <w:bCs/>
                <w:kern w:val="0"/>
              </w:rPr>
              <w:t>排放口类型</w:t>
            </w:r>
          </w:p>
        </w:tc>
      </w:tr>
      <w:tr w14:paraId="2E82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continue"/>
            <w:vAlign w:val="center"/>
          </w:tcPr>
          <w:p w14:paraId="2915BAAD">
            <w:pPr>
              <w:widowControl/>
              <w:jc w:val="center"/>
              <w:rPr>
                <w:bCs/>
                <w:kern w:val="0"/>
              </w:rPr>
            </w:pPr>
          </w:p>
        </w:tc>
        <w:tc>
          <w:tcPr>
            <w:tcW w:w="504" w:type="pct"/>
            <w:vMerge w:val="continue"/>
            <w:vAlign w:val="center"/>
          </w:tcPr>
          <w:p w14:paraId="41A74A87">
            <w:pPr>
              <w:widowControl/>
              <w:jc w:val="center"/>
              <w:rPr>
                <w:bCs/>
                <w:kern w:val="0"/>
              </w:rPr>
            </w:pPr>
          </w:p>
        </w:tc>
        <w:tc>
          <w:tcPr>
            <w:tcW w:w="664" w:type="pct"/>
            <w:vMerge w:val="continue"/>
            <w:vAlign w:val="center"/>
          </w:tcPr>
          <w:p w14:paraId="49E2E20D">
            <w:pPr>
              <w:widowControl/>
              <w:jc w:val="center"/>
              <w:rPr>
                <w:bCs/>
                <w:kern w:val="0"/>
              </w:rPr>
            </w:pPr>
          </w:p>
        </w:tc>
        <w:tc>
          <w:tcPr>
            <w:tcW w:w="417" w:type="pct"/>
            <w:vMerge w:val="continue"/>
            <w:vAlign w:val="center"/>
          </w:tcPr>
          <w:p w14:paraId="2006F1BA">
            <w:pPr>
              <w:widowControl/>
              <w:jc w:val="center"/>
              <w:rPr>
                <w:bCs/>
                <w:kern w:val="0"/>
              </w:rPr>
            </w:pPr>
          </w:p>
        </w:tc>
        <w:tc>
          <w:tcPr>
            <w:tcW w:w="332" w:type="pct"/>
            <w:vMerge w:val="continue"/>
            <w:vAlign w:val="center"/>
          </w:tcPr>
          <w:p w14:paraId="457440B7">
            <w:pPr>
              <w:widowControl/>
              <w:jc w:val="center"/>
              <w:rPr>
                <w:bCs/>
                <w:kern w:val="0"/>
              </w:rPr>
            </w:pPr>
          </w:p>
        </w:tc>
        <w:tc>
          <w:tcPr>
            <w:tcW w:w="409" w:type="pct"/>
            <w:vAlign w:val="center"/>
          </w:tcPr>
          <w:p w14:paraId="17E385A6">
            <w:pPr>
              <w:widowControl/>
              <w:jc w:val="center"/>
              <w:rPr>
                <w:bCs/>
                <w:kern w:val="0"/>
              </w:rPr>
            </w:pPr>
            <w:r>
              <w:rPr>
                <w:rFonts w:hint="eastAsia"/>
                <w:bCs/>
                <w:kern w:val="0"/>
              </w:rPr>
              <w:t>编号</w:t>
            </w:r>
          </w:p>
        </w:tc>
        <w:tc>
          <w:tcPr>
            <w:tcW w:w="502" w:type="pct"/>
            <w:vAlign w:val="center"/>
          </w:tcPr>
          <w:p w14:paraId="0E8AEAA1">
            <w:pPr>
              <w:widowControl/>
              <w:jc w:val="center"/>
              <w:rPr>
                <w:bCs/>
                <w:kern w:val="0"/>
              </w:rPr>
            </w:pPr>
            <w:r>
              <w:rPr>
                <w:rFonts w:hint="eastAsia"/>
                <w:bCs/>
                <w:kern w:val="0"/>
              </w:rPr>
              <w:t>名称</w:t>
            </w:r>
          </w:p>
        </w:tc>
        <w:tc>
          <w:tcPr>
            <w:tcW w:w="475" w:type="pct"/>
            <w:vAlign w:val="center"/>
          </w:tcPr>
          <w:p w14:paraId="0257D43F">
            <w:pPr>
              <w:widowControl/>
              <w:jc w:val="center"/>
              <w:rPr>
                <w:bCs/>
                <w:kern w:val="0"/>
              </w:rPr>
            </w:pPr>
            <w:r>
              <w:rPr>
                <w:rFonts w:hint="eastAsia"/>
                <w:bCs/>
                <w:kern w:val="0"/>
              </w:rPr>
              <w:t>工艺</w:t>
            </w:r>
          </w:p>
        </w:tc>
        <w:tc>
          <w:tcPr>
            <w:tcW w:w="433" w:type="pct"/>
            <w:vMerge w:val="continue"/>
            <w:vAlign w:val="center"/>
          </w:tcPr>
          <w:p w14:paraId="7E761960">
            <w:pPr>
              <w:widowControl/>
              <w:jc w:val="center"/>
              <w:rPr>
                <w:bCs/>
                <w:kern w:val="0"/>
              </w:rPr>
            </w:pPr>
          </w:p>
        </w:tc>
        <w:tc>
          <w:tcPr>
            <w:tcW w:w="616" w:type="pct"/>
            <w:vMerge w:val="continue"/>
            <w:vAlign w:val="center"/>
          </w:tcPr>
          <w:p w14:paraId="13B86354">
            <w:pPr>
              <w:widowControl/>
              <w:jc w:val="center"/>
              <w:rPr>
                <w:bCs/>
                <w:kern w:val="0"/>
              </w:rPr>
            </w:pPr>
          </w:p>
        </w:tc>
        <w:tc>
          <w:tcPr>
            <w:tcW w:w="494" w:type="pct"/>
            <w:vMerge w:val="continue"/>
            <w:vAlign w:val="center"/>
          </w:tcPr>
          <w:p w14:paraId="23C743D7">
            <w:pPr>
              <w:widowControl/>
              <w:jc w:val="center"/>
              <w:rPr>
                <w:bCs/>
                <w:kern w:val="0"/>
              </w:rPr>
            </w:pPr>
          </w:p>
        </w:tc>
      </w:tr>
      <w:tr w14:paraId="52DB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Align w:val="center"/>
          </w:tcPr>
          <w:p w14:paraId="5A37D226">
            <w:pPr>
              <w:widowControl/>
              <w:jc w:val="center"/>
              <w:rPr>
                <w:bCs/>
                <w:kern w:val="0"/>
              </w:rPr>
            </w:pPr>
            <w:r>
              <w:rPr>
                <w:rFonts w:hint="eastAsia"/>
                <w:bCs/>
                <w:kern w:val="0"/>
              </w:rPr>
              <w:t>1</w:t>
            </w:r>
          </w:p>
        </w:tc>
        <w:tc>
          <w:tcPr>
            <w:tcW w:w="504" w:type="pct"/>
            <w:vAlign w:val="center"/>
          </w:tcPr>
          <w:p w14:paraId="2A85D845">
            <w:pPr>
              <w:widowControl/>
              <w:jc w:val="center"/>
              <w:rPr>
                <w:bCs/>
                <w:kern w:val="0"/>
              </w:rPr>
            </w:pPr>
            <w:r>
              <w:rPr>
                <w:rFonts w:hint="eastAsia"/>
                <w:bCs/>
                <w:kern w:val="0"/>
              </w:rPr>
              <w:t>生活污水</w:t>
            </w:r>
          </w:p>
        </w:tc>
        <w:tc>
          <w:tcPr>
            <w:tcW w:w="664" w:type="pct"/>
            <w:vAlign w:val="center"/>
          </w:tcPr>
          <w:p w14:paraId="6BC68816">
            <w:pPr>
              <w:widowControl/>
              <w:jc w:val="center"/>
              <w:rPr>
                <w:bCs/>
                <w:kern w:val="0"/>
              </w:rPr>
            </w:pPr>
            <w:r>
              <w:rPr>
                <w:rFonts w:hint="eastAsia"/>
                <w:bCs/>
                <w:kern w:val="0"/>
              </w:rPr>
              <w:t>COD、NH</w:t>
            </w:r>
            <w:r>
              <w:rPr>
                <w:rFonts w:hint="eastAsia"/>
                <w:bCs/>
                <w:kern w:val="0"/>
                <w:vertAlign w:val="subscript"/>
              </w:rPr>
              <w:t>3</w:t>
            </w:r>
            <w:r>
              <w:rPr>
                <w:rFonts w:hint="eastAsia"/>
                <w:bCs/>
                <w:kern w:val="0"/>
              </w:rPr>
              <w:t>-N、SS</w:t>
            </w:r>
          </w:p>
        </w:tc>
        <w:tc>
          <w:tcPr>
            <w:tcW w:w="417" w:type="pct"/>
            <w:vMerge w:val="restart"/>
            <w:vAlign w:val="center"/>
          </w:tcPr>
          <w:p w14:paraId="3A5F9699">
            <w:pPr>
              <w:widowControl/>
              <w:jc w:val="center"/>
              <w:rPr>
                <w:bCs/>
                <w:kern w:val="0"/>
              </w:rPr>
            </w:pPr>
            <w:r>
              <w:rPr>
                <w:rFonts w:hint="eastAsia"/>
                <w:bCs/>
                <w:kern w:val="0"/>
              </w:rPr>
              <w:t>排至临平净水厂</w:t>
            </w:r>
          </w:p>
        </w:tc>
        <w:tc>
          <w:tcPr>
            <w:tcW w:w="332" w:type="pct"/>
            <w:vMerge w:val="restart"/>
            <w:vAlign w:val="center"/>
          </w:tcPr>
          <w:p w14:paraId="002146ED">
            <w:pPr>
              <w:widowControl/>
              <w:jc w:val="center"/>
              <w:rPr>
                <w:bCs/>
                <w:kern w:val="0"/>
              </w:rPr>
            </w:pPr>
            <w:r>
              <w:rPr>
                <w:rFonts w:hint="eastAsia"/>
                <w:bCs/>
                <w:kern w:val="0"/>
              </w:rPr>
              <w:t>间歇排放</w:t>
            </w:r>
          </w:p>
        </w:tc>
        <w:tc>
          <w:tcPr>
            <w:tcW w:w="409" w:type="pct"/>
            <w:vAlign w:val="center"/>
          </w:tcPr>
          <w:p w14:paraId="17AA8F53">
            <w:pPr>
              <w:widowControl/>
              <w:jc w:val="center"/>
              <w:rPr>
                <w:bCs/>
                <w:kern w:val="0"/>
              </w:rPr>
            </w:pPr>
            <w:r>
              <w:rPr>
                <w:rFonts w:hint="eastAsia"/>
                <w:bCs/>
                <w:kern w:val="0"/>
              </w:rPr>
              <w:t>TW001</w:t>
            </w:r>
          </w:p>
        </w:tc>
        <w:tc>
          <w:tcPr>
            <w:tcW w:w="502" w:type="pct"/>
            <w:vAlign w:val="center"/>
          </w:tcPr>
          <w:p w14:paraId="0549107D">
            <w:pPr>
              <w:widowControl/>
              <w:jc w:val="center"/>
              <w:rPr>
                <w:bCs/>
                <w:kern w:val="0"/>
              </w:rPr>
            </w:pPr>
            <w:r>
              <w:rPr>
                <w:rFonts w:hint="eastAsia"/>
                <w:bCs/>
                <w:kern w:val="0"/>
              </w:rPr>
              <w:t>生活污水处理设施</w:t>
            </w:r>
          </w:p>
        </w:tc>
        <w:tc>
          <w:tcPr>
            <w:tcW w:w="475" w:type="pct"/>
            <w:vAlign w:val="center"/>
          </w:tcPr>
          <w:p w14:paraId="5F0A4921">
            <w:pPr>
              <w:widowControl/>
              <w:jc w:val="center"/>
              <w:rPr>
                <w:bCs/>
                <w:kern w:val="0"/>
              </w:rPr>
            </w:pPr>
            <w:r>
              <w:rPr>
                <w:rFonts w:hint="eastAsia"/>
                <w:bCs/>
                <w:kern w:val="0"/>
              </w:rPr>
              <w:t>化粪池</w:t>
            </w:r>
          </w:p>
        </w:tc>
        <w:tc>
          <w:tcPr>
            <w:tcW w:w="433" w:type="pct"/>
            <w:vMerge w:val="restart"/>
            <w:vAlign w:val="center"/>
          </w:tcPr>
          <w:p w14:paraId="28A47274">
            <w:pPr>
              <w:widowControl/>
              <w:jc w:val="center"/>
              <w:rPr>
                <w:bCs/>
                <w:kern w:val="0"/>
              </w:rPr>
            </w:pPr>
            <w:r>
              <w:rPr>
                <w:rFonts w:hint="eastAsia"/>
                <w:bCs/>
                <w:kern w:val="0"/>
              </w:rPr>
              <w:t>DW001</w:t>
            </w:r>
          </w:p>
        </w:tc>
        <w:tc>
          <w:tcPr>
            <w:tcW w:w="616" w:type="pct"/>
            <w:vMerge w:val="restart"/>
            <w:vAlign w:val="center"/>
          </w:tcPr>
          <w:p w14:paraId="47C794AC">
            <w:pPr>
              <w:widowControl/>
              <w:jc w:val="center"/>
              <w:rPr>
                <w:bCs/>
                <w:kern w:val="0"/>
              </w:rPr>
            </w:pPr>
            <w:r>
              <w:rPr>
                <w:rFonts w:hint="eastAsia"/>
                <w:bCs/>
                <w:kern w:val="0"/>
              </w:rPr>
              <w:t>是</w:t>
            </w:r>
          </w:p>
        </w:tc>
        <w:tc>
          <w:tcPr>
            <w:tcW w:w="494" w:type="pct"/>
            <w:vMerge w:val="restart"/>
            <w:vAlign w:val="center"/>
          </w:tcPr>
          <w:p w14:paraId="4E9F5DBB">
            <w:pPr>
              <w:widowControl/>
              <w:jc w:val="center"/>
              <w:rPr>
                <w:bCs/>
                <w:kern w:val="0"/>
              </w:rPr>
            </w:pPr>
            <w:r>
              <w:rPr>
                <w:rFonts w:hint="eastAsia"/>
                <w:bCs/>
                <w:kern w:val="0"/>
              </w:rPr>
              <w:t>总排口</w:t>
            </w:r>
          </w:p>
        </w:tc>
      </w:tr>
      <w:tr w14:paraId="14B8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Align w:val="center"/>
          </w:tcPr>
          <w:p w14:paraId="4EC432AA">
            <w:pPr>
              <w:widowControl/>
              <w:jc w:val="center"/>
              <w:rPr>
                <w:bCs/>
                <w:kern w:val="0"/>
              </w:rPr>
            </w:pPr>
            <w:r>
              <w:rPr>
                <w:rFonts w:hint="eastAsia"/>
                <w:bCs/>
                <w:kern w:val="0"/>
              </w:rPr>
              <w:t>2</w:t>
            </w:r>
          </w:p>
        </w:tc>
        <w:tc>
          <w:tcPr>
            <w:tcW w:w="504" w:type="pct"/>
            <w:vAlign w:val="center"/>
          </w:tcPr>
          <w:p w14:paraId="57D87760">
            <w:pPr>
              <w:widowControl/>
              <w:jc w:val="center"/>
              <w:rPr>
                <w:bCs/>
                <w:kern w:val="0"/>
              </w:rPr>
            </w:pPr>
            <w:r>
              <w:rPr>
                <w:rFonts w:hint="eastAsia"/>
                <w:bCs/>
                <w:kern w:val="0"/>
              </w:rPr>
              <w:t>水帘喷淋废水</w:t>
            </w:r>
          </w:p>
        </w:tc>
        <w:tc>
          <w:tcPr>
            <w:tcW w:w="664" w:type="pct"/>
            <w:vAlign w:val="center"/>
          </w:tcPr>
          <w:p w14:paraId="266892FD">
            <w:pPr>
              <w:widowControl/>
              <w:jc w:val="center"/>
              <w:rPr>
                <w:bCs/>
                <w:kern w:val="0"/>
              </w:rPr>
            </w:pPr>
            <w:r>
              <w:rPr>
                <w:rFonts w:hint="eastAsia"/>
                <w:bCs/>
                <w:kern w:val="0"/>
              </w:rPr>
              <w:t>COD、SS</w:t>
            </w:r>
          </w:p>
        </w:tc>
        <w:tc>
          <w:tcPr>
            <w:tcW w:w="417" w:type="pct"/>
            <w:vMerge w:val="continue"/>
            <w:vAlign w:val="center"/>
          </w:tcPr>
          <w:p w14:paraId="14DBCA15">
            <w:pPr>
              <w:widowControl/>
              <w:jc w:val="center"/>
              <w:rPr>
                <w:bCs/>
                <w:kern w:val="0"/>
              </w:rPr>
            </w:pPr>
          </w:p>
        </w:tc>
        <w:tc>
          <w:tcPr>
            <w:tcW w:w="332" w:type="pct"/>
            <w:vMerge w:val="continue"/>
            <w:vAlign w:val="center"/>
          </w:tcPr>
          <w:p w14:paraId="4EE436C2">
            <w:pPr>
              <w:widowControl/>
              <w:jc w:val="center"/>
              <w:rPr>
                <w:bCs/>
                <w:kern w:val="0"/>
              </w:rPr>
            </w:pPr>
          </w:p>
        </w:tc>
        <w:tc>
          <w:tcPr>
            <w:tcW w:w="409" w:type="pct"/>
            <w:vAlign w:val="center"/>
          </w:tcPr>
          <w:p w14:paraId="241593FC">
            <w:pPr>
              <w:widowControl/>
              <w:jc w:val="center"/>
              <w:rPr>
                <w:bCs/>
                <w:kern w:val="0"/>
              </w:rPr>
            </w:pPr>
            <w:r>
              <w:rPr>
                <w:rFonts w:hint="eastAsia"/>
                <w:bCs/>
                <w:kern w:val="0"/>
              </w:rPr>
              <w:t>TW002</w:t>
            </w:r>
          </w:p>
        </w:tc>
        <w:tc>
          <w:tcPr>
            <w:tcW w:w="502" w:type="pct"/>
            <w:vAlign w:val="center"/>
          </w:tcPr>
          <w:p w14:paraId="6ADAE66A">
            <w:pPr>
              <w:widowControl/>
              <w:jc w:val="center"/>
              <w:rPr>
                <w:bCs/>
                <w:kern w:val="0"/>
              </w:rPr>
            </w:pPr>
            <w:r>
              <w:rPr>
                <w:rFonts w:hint="eastAsia"/>
                <w:bCs/>
                <w:kern w:val="0"/>
              </w:rPr>
              <w:t>污水预处理设施</w:t>
            </w:r>
          </w:p>
        </w:tc>
        <w:tc>
          <w:tcPr>
            <w:tcW w:w="475" w:type="pct"/>
            <w:vAlign w:val="center"/>
          </w:tcPr>
          <w:p w14:paraId="6AC64F5D">
            <w:pPr>
              <w:widowControl/>
              <w:jc w:val="center"/>
              <w:rPr>
                <w:bCs/>
                <w:kern w:val="0"/>
              </w:rPr>
            </w:pPr>
            <w:r>
              <w:rPr>
                <w:rFonts w:hint="eastAsia"/>
                <w:bCs/>
                <w:kern w:val="0"/>
              </w:rPr>
              <w:t>混凝沉淀+过滤</w:t>
            </w:r>
          </w:p>
        </w:tc>
        <w:tc>
          <w:tcPr>
            <w:tcW w:w="433" w:type="pct"/>
            <w:vMerge w:val="continue"/>
            <w:vAlign w:val="center"/>
          </w:tcPr>
          <w:p w14:paraId="54DFA17D">
            <w:pPr>
              <w:widowControl/>
              <w:jc w:val="center"/>
              <w:rPr>
                <w:bCs/>
                <w:kern w:val="0"/>
              </w:rPr>
            </w:pPr>
          </w:p>
        </w:tc>
        <w:tc>
          <w:tcPr>
            <w:tcW w:w="616" w:type="pct"/>
            <w:vMerge w:val="continue"/>
            <w:vAlign w:val="center"/>
          </w:tcPr>
          <w:p w14:paraId="2243183F">
            <w:pPr>
              <w:widowControl/>
              <w:jc w:val="center"/>
              <w:rPr>
                <w:bCs/>
                <w:kern w:val="0"/>
              </w:rPr>
            </w:pPr>
          </w:p>
        </w:tc>
        <w:tc>
          <w:tcPr>
            <w:tcW w:w="494" w:type="pct"/>
            <w:vMerge w:val="continue"/>
            <w:vAlign w:val="center"/>
          </w:tcPr>
          <w:p w14:paraId="0305E894">
            <w:pPr>
              <w:widowControl/>
              <w:jc w:val="center"/>
              <w:rPr>
                <w:bCs/>
                <w:kern w:val="0"/>
              </w:rPr>
            </w:pPr>
          </w:p>
        </w:tc>
      </w:tr>
    </w:tbl>
    <w:p w14:paraId="7A57A712">
      <w:pPr>
        <w:adjustRightInd w:val="0"/>
        <w:snapToGrid w:val="0"/>
        <w:spacing w:line="360" w:lineRule="auto"/>
        <w:jc w:val="center"/>
        <w:rPr>
          <w:b/>
          <w:bCs/>
          <w:spacing w:val="-10"/>
        </w:rPr>
      </w:pPr>
      <w:r>
        <w:rPr>
          <w:rFonts w:hint="eastAsia"/>
          <w:b/>
          <w:bCs/>
          <w:spacing w:val="-10"/>
        </w:rPr>
        <w:t xml:space="preserve">表16    </w:t>
      </w:r>
      <w:r>
        <w:rPr>
          <w:b/>
          <w:bCs/>
          <w:spacing w:val="-10"/>
        </w:rPr>
        <w:t>废水间接排放口基本情况表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6"/>
        <w:gridCol w:w="781"/>
        <w:gridCol w:w="1369"/>
        <w:gridCol w:w="1264"/>
        <w:gridCol w:w="946"/>
        <w:gridCol w:w="555"/>
        <w:gridCol w:w="1482"/>
        <w:gridCol w:w="547"/>
        <w:gridCol w:w="466"/>
        <w:gridCol w:w="748"/>
        <w:gridCol w:w="1174"/>
      </w:tblGrid>
      <w:tr w14:paraId="749E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vAlign w:val="center"/>
          </w:tcPr>
          <w:p w14:paraId="0FB15979">
            <w:pPr>
              <w:widowControl/>
              <w:jc w:val="center"/>
              <w:rPr>
                <w:bCs/>
                <w:kern w:val="0"/>
              </w:rPr>
            </w:pPr>
            <w:r>
              <w:rPr>
                <w:rFonts w:hint="eastAsia"/>
                <w:bCs/>
                <w:kern w:val="0"/>
              </w:rPr>
              <w:t>序号</w:t>
            </w:r>
          </w:p>
        </w:tc>
        <w:tc>
          <w:tcPr>
            <w:tcW w:w="458" w:type="pct"/>
            <w:vMerge w:val="restart"/>
            <w:vAlign w:val="center"/>
          </w:tcPr>
          <w:p w14:paraId="21C23B38">
            <w:pPr>
              <w:widowControl/>
              <w:jc w:val="center"/>
              <w:rPr>
                <w:bCs/>
                <w:kern w:val="0"/>
              </w:rPr>
            </w:pPr>
            <w:r>
              <w:rPr>
                <w:rFonts w:hint="eastAsia"/>
                <w:bCs/>
                <w:kern w:val="0"/>
              </w:rPr>
              <w:t>排放口编号</w:t>
            </w:r>
          </w:p>
        </w:tc>
        <w:tc>
          <w:tcPr>
            <w:tcW w:w="1041" w:type="pct"/>
            <w:gridSpan w:val="2"/>
            <w:vAlign w:val="center"/>
          </w:tcPr>
          <w:p w14:paraId="33669907">
            <w:pPr>
              <w:widowControl/>
              <w:jc w:val="center"/>
              <w:rPr>
                <w:bCs/>
                <w:kern w:val="0"/>
              </w:rPr>
            </w:pPr>
            <w:r>
              <w:rPr>
                <w:rFonts w:hint="eastAsia"/>
                <w:bCs/>
                <w:kern w:val="0"/>
              </w:rPr>
              <w:t>排放口地理坐标</w:t>
            </w:r>
          </w:p>
        </w:tc>
        <w:tc>
          <w:tcPr>
            <w:tcW w:w="530" w:type="pct"/>
            <w:vMerge w:val="restart"/>
            <w:vAlign w:val="center"/>
          </w:tcPr>
          <w:p w14:paraId="0209788A">
            <w:pPr>
              <w:widowControl/>
              <w:jc w:val="center"/>
              <w:rPr>
                <w:bCs/>
                <w:kern w:val="0"/>
              </w:rPr>
            </w:pPr>
            <w:r>
              <w:rPr>
                <w:rFonts w:hint="eastAsia"/>
                <w:bCs/>
                <w:kern w:val="0"/>
              </w:rPr>
              <w:t>废水排放量(万t/a)</w:t>
            </w:r>
          </w:p>
        </w:tc>
        <w:tc>
          <w:tcPr>
            <w:tcW w:w="326" w:type="pct"/>
            <w:vMerge w:val="restart"/>
            <w:vAlign w:val="center"/>
          </w:tcPr>
          <w:p w14:paraId="4061F530">
            <w:pPr>
              <w:widowControl/>
              <w:jc w:val="center"/>
              <w:rPr>
                <w:bCs/>
                <w:kern w:val="0"/>
              </w:rPr>
            </w:pPr>
            <w:r>
              <w:rPr>
                <w:rFonts w:hint="eastAsia"/>
                <w:bCs/>
                <w:kern w:val="0"/>
              </w:rPr>
              <w:t>排放去向</w:t>
            </w:r>
          </w:p>
        </w:tc>
        <w:tc>
          <w:tcPr>
            <w:tcW w:w="809" w:type="pct"/>
            <w:vMerge w:val="restart"/>
            <w:vAlign w:val="center"/>
          </w:tcPr>
          <w:p w14:paraId="09080EFB">
            <w:pPr>
              <w:widowControl/>
              <w:jc w:val="center"/>
              <w:rPr>
                <w:bCs/>
                <w:kern w:val="0"/>
              </w:rPr>
            </w:pPr>
            <w:r>
              <w:rPr>
                <w:rFonts w:hint="eastAsia"/>
                <w:bCs/>
                <w:kern w:val="0"/>
              </w:rPr>
              <w:t>排放规律</w:t>
            </w:r>
          </w:p>
        </w:tc>
        <w:tc>
          <w:tcPr>
            <w:tcW w:w="322" w:type="pct"/>
            <w:vMerge w:val="restart"/>
            <w:vAlign w:val="center"/>
          </w:tcPr>
          <w:p w14:paraId="153363D1">
            <w:pPr>
              <w:widowControl/>
              <w:jc w:val="center"/>
              <w:rPr>
                <w:bCs/>
                <w:kern w:val="0"/>
              </w:rPr>
            </w:pPr>
            <w:r>
              <w:rPr>
                <w:rFonts w:hint="eastAsia"/>
                <w:bCs/>
                <w:kern w:val="0"/>
              </w:rPr>
              <w:t>间歇排放时段</w:t>
            </w:r>
          </w:p>
        </w:tc>
        <w:tc>
          <w:tcPr>
            <w:tcW w:w="1353" w:type="pct"/>
            <w:gridSpan w:val="3"/>
            <w:vAlign w:val="center"/>
          </w:tcPr>
          <w:p w14:paraId="6F88F7FA">
            <w:pPr>
              <w:widowControl/>
              <w:jc w:val="center"/>
              <w:rPr>
                <w:bCs/>
                <w:kern w:val="0"/>
              </w:rPr>
            </w:pPr>
            <w:r>
              <w:rPr>
                <w:rFonts w:hint="eastAsia"/>
                <w:bCs/>
                <w:kern w:val="0"/>
              </w:rPr>
              <w:t>受纳污水处理厂信息</w:t>
            </w:r>
          </w:p>
        </w:tc>
      </w:tr>
      <w:tr w14:paraId="731D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74595D45">
            <w:pPr>
              <w:widowControl/>
              <w:jc w:val="center"/>
              <w:rPr>
                <w:bCs/>
                <w:kern w:val="0"/>
              </w:rPr>
            </w:pPr>
          </w:p>
        </w:tc>
        <w:tc>
          <w:tcPr>
            <w:tcW w:w="458" w:type="pct"/>
            <w:vMerge w:val="continue"/>
            <w:vAlign w:val="center"/>
          </w:tcPr>
          <w:p w14:paraId="235C0599">
            <w:pPr>
              <w:widowControl/>
              <w:jc w:val="center"/>
              <w:rPr>
                <w:bCs/>
                <w:kern w:val="0"/>
              </w:rPr>
            </w:pPr>
          </w:p>
        </w:tc>
        <w:tc>
          <w:tcPr>
            <w:tcW w:w="551" w:type="pct"/>
            <w:vAlign w:val="center"/>
          </w:tcPr>
          <w:p w14:paraId="1C4F76DB">
            <w:pPr>
              <w:widowControl/>
              <w:jc w:val="center"/>
              <w:rPr>
                <w:bCs/>
                <w:kern w:val="0"/>
              </w:rPr>
            </w:pPr>
            <w:r>
              <w:rPr>
                <w:rFonts w:hint="eastAsia"/>
                <w:bCs/>
                <w:kern w:val="0"/>
              </w:rPr>
              <w:t>经度</w:t>
            </w:r>
          </w:p>
        </w:tc>
        <w:tc>
          <w:tcPr>
            <w:tcW w:w="490" w:type="pct"/>
            <w:vAlign w:val="center"/>
          </w:tcPr>
          <w:p w14:paraId="2F8F72D8">
            <w:pPr>
              <w:widowControl/>
              <w:jc w:val="center"/>
              <w:rPr>
                <w:bCs/>
                <w:kern w:val="0"/>
              </w:rPr>
            </w:pPr>
            <w:r>
              <w:rPr>
                <w:rFonts w:hint="eastAsia"/>
                <w:bCs/>
                <w:kern w:val="0"/>
              </w:rPr>
              <w:t>纬度</w:t>
            </w:r>
          </w:p>
        </w:tc>
        <w:tc>
          <w:tcPr>
            <w:tcW w:w="530" w:type="pct"/>
            <w:vMerge w:val="continue"/>
            <w:vAlign w:val="center"/>
          </w:tcPr>
          <w:p w14:paraId="2D35A6A8">
            <w:pPr>
              <w:widowControl/>
              <w:jc w:val="center"/>
              <w:rPr>
                <w:bCs/>
                <w:kern w:val="0"/>
              </w:rPr>
            </w:pPr>
          </w:p>
        </w:tc>
        <w:tc>
          <w:tcPr>
            <w:tcW w:w="326" w:type="pct"/>
            <w:vMerge w:val="continue"/>
            <w:vAlign w:val="center"/>
          </w:tcPr>
          <w:p w14:paraId="7E473ADE">
            <w:pPr>
              <w:widowControl/>
              <w:jc w:val="center"/>
              <w:rPr>
                <w:bCs/>
                <w:kern w:val="0"/>
              </w:rPr>
            </w:pPr>
          </w:p>
        </w:tc>
        <w:tc>
          <w:tcPr>
            <w:tcW w:w="809" w:type="pct"/>
            <w:vMerge w:val="continue"/>
            <w:vAlign w:val="center"/>
          </w:tcPr>
          <w:p w14:paraId="0DAA4D90">
            <w:pPr>
              <w:widowControl/>
              <w:jc w:val="center"/>
              <w:rPr>
                <w:bCs/>
                <w:kern w:val="0"/>
              </w:rPr>
            </w:pPr>
          </w:p>
        </w:tc>
        <w:tc>
          <w:tcPr>
            <w:tcW w:w="322" w:type="pct"/>
            <w:vMerge w:val="continue"/>
            <w:vAlign w:val="center"/>
          </w:tcPr>
          <w:p w14:paraId="596E4AFA">
            <w:pPr>
              <w:widowControl/>
              <w:jc w:val="center"/>
              <w:rPr>
                <w:bCs/>
                <w:kern w:val="0"/>
              </w:rPr>
            </w:pPr>
          </w:p>
        </w:tc>
        <w:tc>
          <w:tcPr>
            <w:tcW w:w="279" w:type="pct"/>
            <w:vAlign w:val="center"/>
          </w:tcPr>
          <w:p w14:paraId="773F4577">
            <w:pPr>
              <w:widowControl/>
              <w:jc w:val="center"/>
              <w:rPr>
                <w:bCs/>
                <w:kern w:val="0"/>
              </w:rPr>
            </w:pPr>
            <w:r>
              <w:rPr>
                <w:rFonts w:hint="eastAsia"/>
                <w:bCs/>
                <w:kern w:val="0"/>
              </w:rPr>
              <w:t>名称</w:t>
            </w:r>
          </w:p>
        </w:tc>
        <w:tc>
          <w:tcPr>
            <w:tcW w:w="426" w:type="pct"/>
            <w:vAlign w:val="center"/>
          </w:tcPr>
          <w:p w14:paraId="5158CE9B">
            <w:pPr>
              <w:widowControl/>
              <w:jc w:val="center"/>
              <w:rPr>
                <w:bCs/>
                <w:kern w:val="0"/>
              </w:rPr>
            </w:pPr>
            <w:r>
              <w:rPr>
                <w:rFonts w:hint="eastAsia"/>
                <w:bCs/>
                <w:kern w:val="0"/>
              </w:rPr>
              <w:t>污染物种类</w:t>
            </w:r>
          </w:p>
        </w:tc>
        <w:tc>
          <w:tcPr>
            <w:tcW w:w="648" w:type="pct"/>
            <w:vAlign w:val="center"/>
          </w:tcPr>
          <w:p w14:paraId="56FAEB32">
            <w:pPr>
              <w:widowControl/>
              <w:jc w:val="center"/>
              <w:rPr>
                <w:bCs/>
                <w:kern w:val="0"/>
              </w:rPr>
            </w:pPr>
            <w:r>
              <w:rPr>
                <w:rFonts w:hint="eastAsia"/>
                <w:bCs/>
                <w:kern w:val="0"/>
              </w:rPr>
              <w:t>排放标准(mg/L)</w:t>
            </w:r>
          </w:p>
        </w:tc>
      </w:tr>
      <w:tr w14:paraId="220F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vAlign w:val="center"/>
          </w:tcPr>
          <w:p w14:paraId="57E83D2E">
            <w:pPr>
              <w:widowControl/>
              <w:jc w:val="center"/>
              <w:rPr>
                <w:bCs/>
                <w:kern w:val="0"/>
              </w:rPr>
            </w:pPr>
            <w:r>
              <w:rPr>
                <w:rFonts w:hint="eastAsia"/>
                <w:bCs/>
                <w:kern w:val="0"/>
              </w:rPr>
              <w:t>1</w:t>
            </w:r>
          </w:p>
        </w:tc>
        <w:tc>
          <w:tcPr>
            <w:tcW w:w="458" w:type="pct"/>
            <w:vMerge w:val="restart"/>
            <w:vAlign w:val="center"/>
          </w:tcPr>
          <w:p w14:paraId="037FE143">
            <w:pPr>
              <w:widowControl/>
              <w:jc w:val="center"/>
              <w:rPr>
                <w:bCs/>
                <w:kern w:val="0"/>
              </w:rPr>
            </w:pPr>
            <w:r>
              <w:rPr>
                <w:rFonts w:hint="eastAsia"/>
                <w:bCs/>
                <w:kern w:val="0"/>
              </w:rPr>
              <w:t>DW001</w:t>
            </w:r>
          </w:p>
        </w:tc>
        <w:tc>
          <w:tcPr>
            <w:tcW w:w="551" w:type="pct"/>
            <w:vMerge w:val="restart"/>
            <w:vAlign w:val="center"/>
          </w:tcPr>
          <w:p w14:paraId="5BF168C2">
            <w:pPr>
              <w:widowControl/>
              <w:jc w:val="center"/>
              <w:rPr>
                <w:bCs/>
                <w:kern w:val="0"/>
              </w:rPr>
            </w:pPr>
            <w:r>
              <w:rPr>
                <w:rFonts w:hint="eastAsia"/>
                <w:bCs/>
                <w:kern w:val="0"/>
              </w:rPr>
              <w:t>120.320518334</w:t>
            </w:r>
          </w:p>
        </w:tc>
        <w:tc>
          <w:tcPr>
            <w:tcW w:w="490" w:type="pct"/>
            <w:vMerge w:val="restart"/>
            <w:vAlign w:val="center"/>
          </w:tcPr>
          <w:p w14:paraId="574CB4C4">
            <w:pPr>
              <w:widowControl/>
              <w:jc w:val="center"/>
              <w:rPr>
                <w:bCs/>
                <w:kern w:val="0"/>
              </w:rPr>
            </w:pPr>
            <w:r>
              <w:rPr>
                <w:rFonts w:hint="eastAsia"/>
                <w:bCs/>
                <w:kern w:val="0"/>
              </w:rPr>
              <w:t>30.449100332</w:t>
            </w:r>
          </w:p>
        </w:tc>
        <w:tc>
          <w:tcPr>
            <w:tcW w:w="530" w:type="pct"/>
            <w:vMerge w:val="restart"/>
            <w:vAlign w:val="center"/>
          </w:tcPr>
          <w:p w14:paraId="34BF9853">
            <w:pPr>
              <w:widowControl/>
              <w:jc w:val="center"/>
              <w:rPr>
                <w:bCs/>
                <w:kern w:val="0"/>
              </w:rPr>
            </w:pPr>
            <w:r>
              <w:rPr>
                <w:rFonts w:hint="eastAsia"/>
                <w:bCs/>
                <w:kern w:val="0"/>
              </w:rPr>
              <w:t>0.0331</w:t>
            </w:r>
          </w:p>
        </w:tc>
        <w:tc>
          <w:tcPr>
            <w:tcW w:w="326" w:type="pct"/>
            <w:vMerge w:val="restart"/>
            <w:vAlign w:val="center"/>
          </w:tcPr>
          <w:p w14:paraId="354368D1">
            <w:pPr>
              <w:widowControl/>
              <w:jc w:val="center"/>
              <w:rPr>
                <w:bCs/>
                <w:kern w:val="0"/>
              </w:rPr>
            </w:pPr>
            <w:r>
              <w:rPr>
                <w:rFonts w:hint="eastAsia"/>
                <w:bCs/>
                <w:kern w:val="0"/>
              </w:rPr>
              <w:t>城市污水处理厂</w:t>
            </w:r>
          </w:p>
        </w:tc>
        <w:tc>
          <w:tcPr>
            <w:tcW w:w="809" w:type="pct"/>
            <w:vMerge w:val="restart"/>
            <w:vAlign w:val="center"/>
          </w:tcPr>
          <w:p w14:paraId="7618EA65">
            <w:pPr>
              <w:widowControl/>
              <w:jc w:val="center"/>
              <w:rPr>
                <w:bCs/>
                <w:kern w:val="0"/>
              </w:rPr>
            </w:pPr>
            <w:r>
              <w:rPr>
                <w:rFonts w:hint="eastAsia"/>
                <w:bCs/>
                <w:kern w:val="0"/>
              </w:rPr>
              <w:t>间断排放，排放期间流量不稳定且无规律，但不属于冲击型排放</w:t>
            </w:r>
          </w:p>
        </w:tc>
        <w:tc>
          <w:tcPr>
            <w:tcW w:w="322" w:type="pct"/>
            <w:vMerge w:val="restart"/>
            <w:vAlign w:val="center"/>
          </w:tcPr>
          <w:p w14:paraId="34E5280B">
            <w:pPr>
              <w:widowControl/>
              <w:jc w:val="center"/>
              <w:rPr>
                <w:bCs/>
                <w:kern w:val="0"/>
              </w:rPr>
            </w:pPr>
            <w:r>
              <w:rPr>
                <w:rFonts w:hint="eastAsia"/>
                <w:bCs/>
                <w:kern w:val="0"/>
              </w:rPr>
              <w:t>--</w:t>
            </w:r>
          </w:p>
        </w:tc>
        <w:tc>
          <w:tcPr>
            <w:tcW w:w="279" w:type="pct"/>
            <w:vMerge w:val="restart"/>
            <w:vAlign w:val="center"/>
          </w:tcPr>
          <w:p w14:paraId="563DF181">
            <w:pPr>
              <w:widowControl/>
              <w:jc w:val="center"/>
              <w:rPr>
                <w:bCs/>
                <w:kern w:val="0"/>
              </w:rPr>
            </w:pPr>
            <w:r>
              <w:rPr>
                <w:rFonts w:hint="eastAsia"/>
                <w:bCs/>
                <w:kern w:val="0"/>
              </w:rPr>
              <w:t>临平净水厂</w:t>
            </w:r>
          </w:p>
        </w:tc>
        <w:tc>
          <w:tcPr>
            <w:tcW w:w="426" w:type="pct"/>
            <w:vAlign w:val="center"/>
          </w:tcPr>
          <w:p w14:paraId="2166D4F5">
            <w:pPr>
              <w:widowControl/>
              <w:jc w:val="center"/>
              <w:rPr>
                <w:bCs/>
                <w:kern w:val="0"/>
              </w:rPr>
            </w:pPr>
            <w:r>
              <w:rPr>
                <w:rFonts w:hint="eastAsia"/>
                <w:bCs/>
                <w:kern w:val="0"/>
              </w:rPr>
              <w:t>CODCr</w:t>
            </w:r>
          </w:p>
        </w:tc>
        <w:tc>
          <w:tcPr>
            <w:tcW w:w="648" w:type="pct"/>
            <w:vAlign w:val="center"/>
          </w:tcPr>
          <w:p w14:paraId="01046E7C">
            <w:pPr>
              <w:widowControl/>
              <w:jc w:val="center"/>
              <w:rPr>
                <w:bCs/>
                <w:kern w:val="0"/>
              </w:rPr>
            </w:pPr>
            <w:r>
              <w:rPr>
                <w:rFonts w:hint="eastAsia"/>
                <w:bCs/>
                <w:kern w:val="0"/>
              </w:rPr>
              <w:t>40</w:t>
            </w:r>
          </w:p>
        </w:tc>
      </w:tr>
      <w:tr w14:paraId="0538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3CA51A73">
            <w:pPr>
              <w:widowControl/>
              <w:jc w:val="center"/>
              <w:rPr>
                <w:bCs/>
                <w:kern w:val="0"/>
              </w:rPr>
            </w:pPr>
          </w:p>
        </w:tc>
        <w:tc>
          <w:tcPr>
            <w:tcW w:w="458" w:type="pct"/>
            <w:vMerge w:val="continue"/>
            <w:vAlign w:val="center"/>
          </w:tcPr>
          <w:p w14:paraId="24F48782">
            <w:pPr>
              <w:widowControl/>
              <w:jc w:val="center"/>
              <w:rPr>
                <w:bCs/>
                <w:kern w:val="0"/>
              </w:rPr>
            </w:pPr>
          </w:p>
        </w:tc>
        <w:tc>
          <w:tcPr>
            <w:tcW w:w="551" w:type="pct"/>
            <w:vMerge w:val="continue"/>
            <w:vAlign w:val="center"/>
          </w:tcPr>
          <w:p w14:paraId="53FF3A3A">
            <w:pPr>
              <w:widowControl/>
              <w:jc w:val="center"/>
              <w:rPr>
                <w:bCs/>
                <w:kern w:val="0"/>
              </w:rPr>
            </w:pPr>
          </w:p>
        </w:tc>
        <w:tc>
          <w:tcPr>
            <w:tcW w:w="490" w:type="pct"/>
            <w:vMerge w:val="continue"/>
            <w:vAlign w:val="center"/>
          </w:tcPr>
          <w:p w14:paraId="01699F29">
            <w:pPr>
              <w:widowControl/>
              <w:jc w:val="center"/>
              <w:rPr>
                <w:bCs/>
                <w:kern w:val="0"/>
              </w:rPr>
            </w:pPr>
          </w:p>
        </w:tc>
        <w:tc>
          <w:tcPr>
            <w:tcW w:w="530" w:type="pct"/>
            <w:vMerge w:val="continue"/>
            <w:vAlign w:val="center"/>
          </w:tcPr>
          <w:p w14:paraId="4C0BA470">
            <w:pPr>
              <w:widowControl/>
              <w:jc w:val="center"/>
              <w:rPr>
                <w:bCs/>
                <w:kern w:val="0"/>
              </w:rPr>
            </w:pPr>
          </w:p>
        </w:tc>
        <w:tc>
          <w:tcPr>
            <w:tcW w:w="326" w:type="pct"/>
            <w:vMerge w:val="continue"/>
            <w:vAlign w:val="center"/>
          </w:tcPr>
          <w:p w14:paraId="75B02D89">
            <w:pPr>
              <w:widowControl/>
              <w:jc w:val="center"/>
              <w:rPr>
                <w:bCs/>
                <w:kern w:val="0"/>
              </w:rPr>
            </w:pPr>
          </w:p>
        </w:tc>
        <w:tc>
          <w:tcPr>
            <w:tcW w:w="809" w:type="pct"/>
            <w:vMerge w:val="continue"/>
            <w:vAlign w:val="center"/>
          </w:tcPr>
          <w:p w14:paraId="02CFC5B4">
            <w:pPr>
              <w:widowControl/>
              <w:jc w:val="center"/>
              <w:rPr>
                <w:bCs/>
                <w:kern w:val="0"/>
              </w:rPr>
            </w:pPr>
          </w:p>
        </w:tc>
        <w:tc>
          <w:tcPr>
            <w:tcW w:w="322" w:type="pct"/>
            <w:vMerge w:val="continue"/>
            <w:vAlign w:val="center"/>
          </w:tcPr>
          <w:p w14:paraId="77E03146">
            <w:pPr>
              <w:widowControl/>
              <w:jc w:val="center"/>
              <w:rPr>
                <w:bCs/>
                <w:kern w:val="0"/>
              </w:rPr>
            </w:pPr>
          </w:p>
        </w:tc>
        <w:tc>
          <w:tcPr>
            <w:tcW w:w="279" w:type="pct"/>
            <w:vMerge w:val="continue"/>
            <w:vAlign w:val="center"/>
          </w:tcPr>
          <w:p w14:paraId="6ECF550C">
            <w:pPr>
              <w:widowControl/>
              <w:jc w:val="center"/>
              <w:rPr>
                <w:bCs/>
                <w:kern w:val="0"/>
              </w:rPr>
            </w:pPr>
          </w:p>
        </w:tc>
        <w:tc>
          <w:tcPr>
            <w:tcW w:w="426" w:type="pct"/>
            <w:vAlign w:val="center"/>
          </w:tcPr>
          <w:p w14:paraId="22FE9FA1">
            <w:pPr>
              <w:widowControl/>
              <w:jc w:val="center"/>
              <w:rPr>
                <w:bCs/>
                <w:kern w:val="0"/>
              </w:rPr>
            </w:pPr>
            <w:r>
              <w:rPr>
                <w:rFonts w:hint="eastAsia"/>
                <w:bCs/>
                <w:kern w:val="0"/>
              </w:rPr>
              <w:t>NH3-N</w:t>
            </w:r>
          </w:p>
        </w:tc>
        <w:tc>
          <w:tcPr>
            <w:tcW w:w="648" w:type="pct"/>
            <w:vAlign w:val="center"/>
          </w:tcPr>
          <w:p w14:paraId="1D3E971E">
            <w:pPr>
              <w:widowControl/>
              <w:jc w:val="center"/>
              <w:rPr>
                <w:bCs/>
                <w:kern w:val="0"/>
              </w:rPr>
            </w:pPr>
            <w:r>
              <w:rPr>
                <w:rFonts w:hint="eastAsia"/>
                <w:bCs/>
                <w:kern w:val="0"/>
              </w:rPr>
              <w:t>2(4)*</w:t>
            </w:r>
          </w:p>
        </w:tc>
      </w:tr>
      <w:tr w14:paraId="77C3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53434397">
            <w:pPr>
              <w:widowControl/>
              <w:jc w:val="center"/>
              <w:rPr>
                <w:bCs/>
                <w:kern w:val="0"/>
              </w:rPr>
            </w:pPr>
          </w:p>
        </w:tc>
        <w:tc>
          <w:tcPr>
            <w:tcW w:w="458" w:type="pct"/>
            <w:vMerge w:val="continue"/>
            <w:vAlign w:val="center"/>
          </w:tcPr>
          <w:p w14:paraId="5684C6D4">
            <w:pPr>
              <w:widowControl/>
              <w:jc w:val="center"/>
              <w:rPr>
                <w:bCs/>
                <w:kern w:val="0"/>
              </w:rPr>
            </w:pPr>
          </w:p>
        </w:tc>
        <w:tc>
          <w:tcPr>
            <w:tcW w:w="551" w:type="pct"/>
            <w:vMerge w:val="continue"/>
            <w:vAlign w:val="center"/>
          </w:tcPr>
          <w:p w14:paraId="3ECC9E17">
            <w:pPr>
              <w:widowControl/>
              <w:jc w:val="center"/>
              <w:rPr>
                <w:bCs/>
                <w:kern w:val="0"/>
              </w:rPr>
            </w:pPr>
          </w:p>
        </w:tc>
        <w:tc>
          <w:tcPr>
            <w:tcW w:w="490" w:type="pct"/>
            <w:vMerge w:val="continue"/>
            <w:vAlign w:val="center"/>
          </w:tcPr>
          <w:p w14:paraId="4AD9A17C">
            <w:pPr>
              <w:widowControl/>
              <w:jc w:val="center"/>
              <w:rPr>
                <w:bCs/>
                <w:kern w:val="0"/>
              </w:rPr>
            </w:pPr>
          </w:p>
        </w:tc>
        <w:tc>
          <w:tcPr>
            <w:tcW w:w="530" w:type="pct"/>
            <w:vMerge w:val="continue"/>
            <w:vAlign w:val="center"/>
          </w:tcPr>
          <w:p w14:paraId="1A14F6AE">
            <w:pPr>
              <w:widowControl/>
              <w:jc w:val="center"/>
              <w:rPr>
                <w:bCs/>
                <w:kern w:val="0"/>
              </w:rPr>
            </w:pPr>
          </w:p>
        </w:tc>
        <w:tc>
          <w:tcPr>
            <w:tcW w:w="326" w:type="pct"/>
            <w:vMerge w:val="continue"/>
            <w:vAlign w:val="center"/>
          </w:tcPr>
          <w:p w14:paraId="31482284">
            <w:pPr>
              <w:widowControl/>
              <w:jc w:val="center"/>
              <w:rPr>
                <w:bCs/>
                <w:kern w:val="0"/>
              </w:rPr>
            </w:pPr>
          </w:p>
        </w:tc>
        <w:tc>
          <w:tcPr>
            <w:tcW w:w="809" w:type="pct"/>
            <w:vMerge w:val="continue"/>
            <w:vAlign w:val="center"/>
          </w:tcPr>
          <w:p w14:paraId="3760E95C">
            <w:pPr>
              <w:widowControl/>
              <w:jc w:val="center"/>
              <w:rPr>
                <w:bCs/>
                <w:kern w:val="0"/>
              </w:rPr>
            </w:pPr>
          </w:p>
        </w:tc>
        <w:tc>
          <w:tcPr>
            <w:tcW w:w="322" w:type="pct"/>
            <w:vMerge w:val="continue"/>
            <w:vAlign w:val="center"/>
          </w:tcPr>
          <w:p w14:paraId="1BE54C3C">
            <w:pPr>
              <w:widowControl/>
              <w:jc w:val="center"/>
              <w:rPr>
                <w:bCs/>
                <w:kern w:val="0"/>
              </w:rPr>
            </w:pPr>
          </w:p>
        </w:tc>
        <w:tc>
          <w:tcPr>
            <w:tcW w:w="279" w:type="pct"/>
            <w:vMerge w:val="continue"/>
            <w:vAlign w:val="center"/>
          </w:tcPr>
          <w:p w14:paraId="46AA5D28">
            <w:pPr>
              <w:widowControl/>
              <w:jc w:val="center"/>
              <w:rPr>
                <w:bCs/>
                <w:kern w:val="0"/>
              </w:rPr>
            </w:pPr>
          </w:p>
        </w:tc>
        <w:tc>
          <w:tcPr>
            <w:tcW w:w="426" w:type="pct"/>
            <w:vAlign w:val="center"/>
          </w:tcPr>
          <w:p w14:paraId="10C4ACB0">
            <w:pPr>
              <w:widowControl/>
              <w:jc w:val="center"/>
              <w:rPr>
                <w:bCs/>
                <w:kern w:val="0"/>
              </w:rPr>
            </w:pPr>
            <w:r>
              <w:rPr>
                <w:rFonts w:hint="eastAsia"/>
                <w:bCs/>
                <w:kern w:val="0"/>
              </w:rPr>
              <w:t>SS</w:t>
            </w:r>
          </w:p>
        </w:tc>
        <w:tc>
          <w:tcPr>
            <w:tcW w:w="648" w:type="pct"/>
            <w:vAlign w:val="center"/>
          </w:tcPr>
          <w:p w14:paraId="642197A7">
            <w:pPr>
              <w:widowControl/>
              <w:jc w:val="center"/>
              <w:rPr>
                <w:bCs/>
                <w:kern w:val="0"/>
              </w:rPr>
            </w:pPr>
            <w:r>
              <w:rPr>
                <w:rFonts w:hint="eastAsia"/>
                <w:bCs/>
                <w:kern w:val="0"/>
              </w:rPr>
              <w:t>10</w:t>
            </w:r>
          </w:p>
        </w:tc>
      </w:tr>
      <w:tr w14:paraId="1CE4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2F66E913">
            <w:pPr>
              <w:widowControl/>
              <w:jc w:val="center"/>
              <w:rPr>
                <w:bCs/>
                <w:kern w:val="0"/>
              </w:rPr>
            </w:pPr>
          </w:p>
        </w:tc>
        <w:tc>
          <w:tcPr>
            <w:tcW w:w="458" w:type="pct"/>
            <w:vMerge w:val="continue"/>
            <w:vAlign w:val="center"/>
          </w:tcPr>
          <w:p w14:paraId="1A084F0D">
            <w:pPr>
              <w:widowControl/>
              <w:jc w:val="center"/>
              <w:rPr>
                <w:bCs/>
                <w:kern w:val="0"/>
              </w:rPr>
            </w:pPr>
          </w:p>
        </w:tc>
        <w:tc>
          <w:tcPr>
            <w:tcW w:w="551" w:type="pct"/>
            <w:vMerge w:val="continue"/>
            <w:vAlign w:val="center"/>
          </w:tcPr>
          <w:p w14:paraId="4BCD74B2">
            <w:pPr>
              <w:widowControl/>
              <w:jc w:val="center"/>
              <w:rPr>
                <w:bCs/>
                <w:kern w:val="0"/>
              </w:rPr>
            </w:pPr>
          </w:p>
        </w:tc>
        <w:tc>
          <w:tcPr>
            <w:tcW w:w="490" w:type="pct"/>
            <w:vMerge w:val="continue"/>
            <w:vAlign w:val="center"/>
          </w:tcPr>
          <w:p w14:paraId="2402BBBD">
            <w:pPr>
              <w:widowControl/>
              <w:jc w:val="center"/>
              <w:rPr>
                <w:bCs/>
                <w:kern w:val="0"/>
              </w:rPr>
            </w:pPr>
          </w:p>
        </w:tc>
        <w:tc>
          <w:tcPr>
            <w:tcW w:w="530" w:type="pct"/>
            <w:vMerge w:val="continue"/>
            <w:vAlign w:val="center"/>
          </w:tcPr>
          <w:p w14:paraId="17E90ACB">
            <w:pPr>
              <w:widowControl/>
              <w:jc w:val="center"/>
              <w:rPr>
                <w:bCs/>
                <w:kern w:val="0"/>
              </w:rPr>
            </w:pPr>
          </w:p>
        </w:tc>
        <w:tc>
          <w:tcPr>
            <w:tcW w:w="326" w:type="pct"/>
            <w:vMerge w:val="continue"/>
            <w:vAlign w:val="center"/>
          </w:tcPr>
          <w:p w14:paraId="624FCC02">
            <w:pPr>
              <w:widowControl/>
              <w:jc w:val="center"/>
              <w:rPr>
                <w:bCs/>
                <w:kern w:val="0"/>
              </w:rPr>
            </w:pPr>
          </w:p>
        </w:tc>
        <w:tc>
          <w:tcPr>
            <w:tcW w:w="809" w:type="pct"/>
            <w:vMerge w:val="continue"/>
            <w:vAlign w:val="center"/>
          </w:tcPr>
          <w:p w14:paraId="2A5266C2">
            <w:pPr>
              <w:widowControl/>
              <w:jc w:val="center"/>
              <w:rPr>
                <w:bCs/>
                <w:kern w:val="0"/>
              </w:rPr>
            </w:pPr>
          </w:p>
        </w:tc>
        <w:tc>
          <w:tcPr>
            <w:tcW w:w="322" w:type="pct"/>
            <w:vMerge w:val="continue"/>
            <w:vAlign w:val="center"/>
          </w:tcPr>
          <w:p w14:paraId="363CE7E2">
            <w:pPr>
              <w:widowControl/>
              <w:jc w:val="center"/>
              <w:rPr>
                <w:bCs/>
                <w:kern w:val="0"/>
              </w:rPr>
            </w:pPr>
          </w:p>
        </w:tc>
        <w:tc>
          <w:tcPr>
            <w:tcW w:w="279" w:type="pct"/>
            <w:vMerge w:val="continue"/>
            <w:vAlign w:val="center"/>
          </w:tcPr>
          <w:p w14:paraId="5998A6E9">
            <w:pPr>
              <w:widowControl/>
              <w:jc w:val="center"/>
              <w:rPr>
                <w:bCs/>
                <w:kern w:val="0"/>
              </w:rPr>
            </w:pPr>
          </w:p>
        </w:tc>
        <w:tc>
          <w:tcPr>
            <w:tcW w:w="426" w:type="pct"/>
            <w:vAlign w:val="center"/>
          </w:tcPr>
          <w:p w14:paraId="5048225E">
            <w:pPr>
              <w:widowControl/>
              <w:jc w:val="center"/>
              <w:rPr>
                <w:bCs/>
                <w:kern w:val="0"/>
              </w:rPr>
            </w:pPr>
            <w:r>
              <w:rPr>
                <w:rFonts w:hint="eastAsia"/>
                <w:bCs/>
                <w:kern w:val="0"/>
              </w:rPr>
              <w:t>石油类</w:t>
            </w:r>
          </w:p>
        </w:tc>
        <w:tc>
          <w:tcPr>
            <w:tcW w:w="648" w:type="pct"/>
            <w:vAlign w:val="center"/>
          </w:tcPr>
          <w:p w14:paraId="7A5B554C">
            <w:pPr>
              <w:widowControl/>
              <w:jc w:val="center"/>
              <w:rPr>
                <w:bCs/>
                <w:kern w:val="0"/>
              </w:rPr>
            </w:pPr>
            <w:r>
              <w:rPr>
                <w:rFonts w:hint="eastAsia"/>
                <w:bCs/>
                <w:kern w:val="0"/>
              </w:rPr>
              <w:t>1</w:t>
            </w:r>
          </w:p>
        </w:tc>
      </w:tr>
      <w:tr w14:paraId="56D9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7D6CE314">
            <w:pPr>
              <w:widowControl/>
              <w:jc w:val="center"/>
              <w:rPr>
                <w:bCs/>
                <w:kern w:val="0"/>
              </w:rPr>
            </w:pPr>
          </w:p>
        </w:tc>
        <w:tc>
          <w:tcPr>
            <w:tcW w:w="458" w:type="pct"/>
            <w:vMerge w:val="continue"/>
            <w:vAlign w:val="center"/>
          </w:tcPr>
          <w:p w14:paraId="55508407">
            <w:pPr>
              <w:widowControl/>
              <w:jc w:val="center"/>
              <w:rPr>
                <w:bCs/>
                <w:kern w:val="0"/>
              </w:rPr>
            </w:pPr>
          </w:p>
        </w:tc>
        <w:tc>
          <w:tcPr>
            <w:tcW w:w="551" w:type="pct"/>
            <w:vMerge w:val="continue"/>
            <w:vAlign w:val="center"/>
          </w:tcPr>
          <w:p w14:paraId="0CE5F3DC">
            <w:pPr>
              <w:widowControl/>
              <w:jc w:val="center"/>
              <w:rPr>
                <w:bCs/>
                <w:kern w:val="0"/>
              </w:rPr>
            </w:pPr>
          </w:p>
        </w:tc>
        <w:tc>
          <w:tcPr>
            <w:tcW w:w="490" w:type="pct"/>
            <w:vMerge w:val="continue"/>
            <w:vAlign w:val="center"/>
          </w:tcPr>
          <w:p w14:paraId="6CC9074D">
            <w:pPr>
              <w:widowControl/>
              <w:jc w:val="center"/>
              <w:rPr>
                <w:bCs/>
                <w:kern w:val="0"/>
              </w:rPr>
            </w:pPr>
          </w:p>
        </w:tc>
        <w:tc>
          <w:tcPr>
            <w:tcW w:w="530" w:type="pct"/>
            <w:vMerge w:val="continue"/>
            <w:vAlign w:val="center"/>
          </w:tcPr>
          <w:p w14:paraId="772A00A4">
            <w:pPr>
              <w:widowControl/>
              <w:jc w:val="center"/>
              <w:rPr>
                <w:bCs/>
                <w:kern w:val="0"/>
              </w:rPr>
            </w:pPr>
          </w:p>
        </w:tc>
        <w:tc>
          <w:tcPr>
            <w:tcW w:w="326" w:type="pct"/>
            <w:vMerge w:val="continue"/>
            <w:vAlign w:val="center"/>
          </w:tcPr>
          <w:p w14:paraId="21679488">
            <w:pPr>
              <w:widowControl/>
              <w:jc w:val="center"/>
              <w:rPr>
                <w:bCs/>
                <w:kern w:val="0"/>
              </w:rPr>
            </w:pPr>
          </w:p>
        </w:tc>
        <w:tc>
          <w:tcPr>
            <w:tcW w:w="809" w:type="pct"/>
            <w:vMerge w:val="continue"/>
            <w:vAlign w:val="center"/>
          </w:tcPr>
          <w:p w14:paraId="1DB9F01D">
            <w:pPr>
              <w:widowControl/>
              <w:jc w:val="center"/>
              <w:rPr>
                <w:bCs/>
                <w:kern w:val="0"/>
              </w:rPr>
            </w:pPr>
          </w:p>
        </w:tc>
        <w:tc>
          <w:tcPr>
            <w:tcW w:w="322" w:type="pct"/>
            <w:vMerge w:val="continue"/>
            <w:vAlign w:val="center"/>
          </w:tcPr>
          <w:p w14:paraId="013D3FB0">
            <w:pPr>
              <w:widowControl/>
              <w:jc w:val="center"/>
              <w:rPr>
                <w:bCs/>
                <w:kern w:val="0"/>
              </w:rPr>
            </w:pPr>
          </w:p>
        </w:tc>
        <w:tc>
          <w:tcPr>
            <w:tcW w:w="279" w:type="pct"/>
            <w:vMerge w:val="continue"/>
            <w:vAlign w:val="center"/>
          </w:tcPr>
          <w:p w14:paraId="25C0EA6D">
            <w:pPr>
              <w:widowControl/>
              <w:jc w:val="center"/>
              <w:rPr>
                <w:bCs/>
                <w:kern w:val="0"/>
              </w:rPr>
            </w:pPr>
          </w:p>
        </w:tc>
        <w:tc>
          <w:tcPr>
            <w:tcW w:w="426" w:type="pct"/>
            <w:vAlign w:val="center"/>
          </w:tcPr>
          <w:p w14:paraId="74EE26DF">
            <w:pPr>
              <w:widowControl/>
              <w:jc w:val="center"/>
              <w:rPr>
                <w:bCs/>
                <w:kern w:val="0"/>
              </w:rPr>
            </w:pPr>
            <w:r>
              <w:rPr>
                <w:rFonts w:hint="eastAsia"/>
                <w:bCs/>
                <w:kern w:val="0"/>
              </w:rPr>
              <w:t>LAS</w:t>
            </w:r>
          </w:p>
        </w:tc>
        <w:tc>
          <w:tcPr>
            <w:tcW w:w="648" w:type="pct"/>
            <w:vAlign w:val="center"/>
          </w:tcPr>
          <w:p w14:paraId="6F562518">
            <w:pPr>
              <w:widowControl/>
              <w:jc w:val="center"/>
              <w:rPr>
                <w:bCs/>
                <w:kern w:val="0"/>
              </w:rPr>
            </w:pPr>
            <w:r>
              <w:rPr>
                <w:rFonts w:hint="eastAsia"/>
                <w:bCs/>
                <w:kern w:val="0"/>
              </w:rPr>
              <w:t>0.5</w:t>
            </w:r>
          </w:p>
        </w:tc>
      </w:tr>
      <w:tr w14:paraId="61C1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02F8544D">
            <w:pPr>
              <w:widowControl/>
              <w:jc w:val="center"/>
              <w:rPr>
                <w:bCs/>
                <w:kern w:val="0"/>
              </w:rPr>
            </w:pPr>
          </w:p>
        </w:tc>
        <w:tc>
          <w:tcPr>
            <w:tcW w:w="458" w:type="pct"/>
            <w:vMerge w:val="continue"/>
            <w:vAlign w:val="center"/>
          </w:tcPr>
          <w:p w14:paraId="0BC6B1F1">
            <w:pPr>
              <w:widowControl/>
              <w:jc w:val="center"/>
              <w:rPr>
                <w:bCs/>
                <w:kern w:val="0"/>
              </w:rPr>
            </w:pPr>
          </w:p>
        </w:tc>
        <w:tc>
          <w:tcPr>
            <w:tcW w:w="551" w:type="pct"/>
            <w:vMerge w:val="continue"/>
            <w:vAlign w:val="center"/>
          </w:tcPr>
          <w:p w14:paraId="60A52538">
            <w:pPr>
              <w:widowControl/>
              <w:jc w:val="center"/>
              <w:rPr>
                <w:bCs/>
                <w:kern w:val="0"/>
              </w:rPr>
            </w:pPr>
          </w:p>
        </w:tc>
        <w:tc>
          <w:tcPr>
            <w:tcW w:w="490" w:type="pct"/>
            <w:vMerge w:val="continue"/>
            <w:vAlign w:val="center"/>
          </w:tcPr>
          <w:p w14:paraId="3A91CECB">
            <w:pPr>
              <w:widowControl/>
              <w:jc w:val="center"/>
              <w:rPr>
                <w:bCs/>
                <w:kern w:val="0"/>
              </w:rPr>
            </w:pPr>
          </w:p>
        </w:tc>
        <w:tc>
          <w:tcPr>
            <w:tcW w:w="530" w:type="pct"/>
            <w:vMerge w:val="continue"/>
            <w:vAlign w:val="center"/>
          </w:tcPr>
          <w:p w14:paraId="06B71D2A">
            <w:pPr>
              <w:widowControl/>
              <w:jc w:val="center"/>
              <w:rPr>
                <w:bCs/>
                <w:kern w:val="0"/>
              </w:rPr>
            </w:pPr>
          </w:p>
        </w:tc>
        <w:tc>
          <w:tcPr>
            <w:tcW w:w="326" w:type="pct"/>
            <w:vMerge w:val="continue"/>
            <w:vAlign w:val="center"/>
          </w:tcPr>
          <w:p w14:paraId="39E67873">
            <w:pPr>
              <w:widowControl/>
              <w:jc w:val="center"/>
              <w:rPr>
                <w:bCs/>
                <w:kern w:val="0"/>
              </w:rPr>
            </w:pPr>
          </w:p>
        </w:tc>
        <w:tc>
          <w:tcPr>
            <w:tcW w:w="809" w:type="pct"/>
            <w:vMerge w:val="continue"/>
            <w:vAlign w:val="center"/>
          </w:tcPr>
          <w:p w14:paraId="59A7A35A">
            <w:pPr>
              <w:widowControl/>
              <w:jc w:val="center"/>
              <w:rPr>
                <w:bCs/>
                <w:kern w:val="0"/>
              </w:rPr>
            </w:pPr>
          </w:p>
        </w:tc>
        <w:tc>
          <w:tcPr>
            <w:tcW w:w="322" w:type="pct"/>
            <w:vMerge w:val="continue"/>
            <w:vAlign w:val="center"/>
          </w:tcPr>
          <w:p w14:paraId="0F3289CB">
            <w:pPr>
              <w:widowControl/>
              <w:jc w:val="center"/>
              <w:rPr>
                <w:bCs/>
                <w:kern w:val="0"/>
              </w:rPr>
            </w:pPr>
          </w:p>
        </w:tc>
        <w:tc>
          <w:tcPr>
            <w:tcW w:w="279" w:type="pct"/>
            <w:vMerge w:val="continue"/>
            <w:vAlign w:val="center"/>
          </w:tcPr>
          <w:p w14:paraId="20DCD8E9">
            <w:pPr>
              <w:widowControl/>
              <w:jc w:val="center"/>
              <w:rPr>
                <w:bCs/>
                <w:kern w:val="0"/>
              </w:rPr>
            </w:pPr>
          </w:p>
        </w:tc>
        <w:tc>
          <w:tcPr>
            <w:tcW w:w="426" w:type="pct"/>
            <w:vAlign w:val="center"/>
          </w:tcPr>
          <w:p w14:paraId="537A23E8">
            <w:pPr>
              <w:widowControl/>
              <w:jc w:val="center"/>
              <w:rPr>
                <w:bCs/>
                <w:kern w:val="0"/>
              </w:rPr>
            </w:pPr>
            <w:r>
              <w:rPr>
                <w:rFonts w:hint="eastAsia"/>
                <w:bCs/>
                <w:kern w:val="0"/>
              </w:rPr>
              <w:t>动植物油</w:t>
            </w:r>
          </w:p>
        </w:tc>
        <w:tc>
          <w:tcPr>
            <w:tcW w:w="648" w:type="pct"/>
            <w:vAlign w:val="center"/>
          </w:tcPr>
          <w:p w14:paraId="0FC05D24">
            <w:pPr>
              <w:widowControl/>
              <w:jc w:val="center"/>
              <w:rPr>
                <w:bCs/>
                <w:kern w:val="0"/>
              </w:rPr>
            </w:pPr>
            <w:r>
              <w:rPr>
                <w:rFonts w:hint="eastAsia"/>
                <w:bCs/>
                <w:kern w:val="0"/>
              </w:rPr>
              <w:t>1</w:t>
            </w:r>
          </w:p>
        </w:tc>
      </w:tr>
    </w:tbl>
    <w:p w14:paraId="673E8783">
      <w:pPr>
        <w:rPr>
          <w:b/>
          <w:bCs/>
          <w:spacing w:val="-10"/>
        </w:rPr>
      </w:pPr>
      <w:r>
        <w:rPr>
          <w:rFonts w:hint="eastAsia"/>
          <w:sz w:val="18"/>
          <w:szCs w:val="18"/>
        </w:rPr>
        <w:t>注：*—括号内数值为每年11月1日至次年3月31日执行。</w:t>
      </w:r>
    </w:p>
    <w:p w14:paraId="64E1A2E6">
      <w:pPr>
        <w:adjustRightInd w:val="0"/>
        <w:snapToGrid w:val="0"/>
        <w:spacing w:line="360" w:lineRule="auto"/>
        <w:jc w:val="center"/>
        <w:rPr>
          <w:b/>
          <w:bCs/>
          <w:spacing w:val="-10"/>
        </w:rPr>
      </w:pPr>
      <w:r>
        <w:rPr>
          <w:rFonts w:hint="eastAsia"/>
          <w:b/>
          <w:bCs/>
          <w:spacing w:val="-10"/>
        </w:rPr>
        <w:t xml:space="preserve">表17     </w:t>
      </w:r>
      <w:r>
        <w:rPr>
          <w:b/>
          <w:bCs/>
          <w:spacing w:val="-10"/>
        </w:rPr>
        <w:t>废水达标排放执行标准表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4"/>
        <w:gridCol w:w="1202"/>
        <w:gridCol w:w="1419"/>
        <w:gridCol w:w="2985"/>
        <w:gridCol w:w="3288"/>
      </w:tblGrid>
      <w:tr w14:paraId="256D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restart"/>
            <w:vAlign w:val="center"/>
          </w:tcPr>
          <w:p w14:paraId="3F334A7D">
            <w:pPr>
              <w:widowControl/>
              <w:jc w:val="center"/>
              <w:rPr>
                <w:bCs/>
                <w:kern w:val="0"/>
              </w:rPr>
            </w:pPr>
            <w:r>
              <w:rPr>
                <w:rFonts w:hint="eastAsia"/>
                <w:bCs/>
                <w:kern w:val="0"/>
              </w:rPr>
              <w:t>序号</w:t>
            </w:r>
          </w:p>
        </w:tc>
        <w:tc>
          <w:tcPr>
            <w:tcW w:w="626" w:type="pct"/>
            <w:vMerge w:val="restart"/>
            <w:vAlign w:val="center"/>
          </w:tcPr>
          <w:p w14:paraId="2DBD7DB2">
            <w:pPr>
              <w:widowControl/>
              <w:jc w:val="center"/>
              <w:rPr>
                <w:bCs/>
                <w:kern w:val="0"/>
              </w:rPr>
            </w:pPr>
            <w:r>
              <w:rPr>
                <w:rFonts w:hint="eastAsia"/>
                <w:bCs/>
                <w:kern w:val="0"/>
              </w:rPr>
              <w:t>排放口编号</w:t>
            </w:r>
          </w:p>
        </w:tc>
        <w:tc>
          <w:tcPr>
            <w:tcW w:w="739" w:type="pct"/>
            <w:vMerge w:val="restart"/>
            <w:vAlign w:val="center"/>
          </w:tcPr>
          <w:p w14:paraId="598BD8CC">
            <w:pPr>
              <w:widowControl/>
              <w:jc w:val="center"/>
              <w:rPr>
                <w:bCs/>
                <w:kern w:val="0"/>
              </w:rPr>
            </w:pPr>
            <w:r>
              <w:rPr>
                <w:rFonts w:hint="eastAsia"/>
                <w:bCs/>
                <w:kern w:val="0"/>
              </w:rPr>
              <w:t>污染物种类</w:t>
            </w:r>
          </w:p>
        </w:tc>
        <w:tc>
          <w:tcPr>
            <w:tcW w:w="3268" w:type="pct"/>
            <w:gridSpan w:val="2"/>
            <w:vAlign w:val="center"/>
          </w:tcPr>
          <w:p w14:paraId="650900B8">
            <w:pPr>
              <w:widowControl/>
              <w:jc w:val="center"/>
              <w:rPr>
                <w:bCs/>
                <w:kern w:val="0"/>
              </w:rPr>
            </w:pPr>
            <w:r>
              <w:rPr>
                <w:rFonts w:hint="eastAsia"/>
                <w:bCs/>
                <w:kern w:val="0"/>
              </w:rPr>
              <w:t>国家或地方污染物排放标准及其他按规定商定的排放协议</w:t>
            </w:r>
          </w:p>
        </w:tc>
      </w:tr>
      <w:tr w14:paraId="4C4C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continue"/>
            <w:vAlign w:val="center"/>
          </w:tcPr>
          <w:p w14:paraId="7505C3AE">
            <w:pPr>
              <w:widowControl/>
              <w:jc w:val="center"/>
              <w:rPr>
                <w:bCs/>
                <w:kern w:val="0"/>
              </w:rPr>
            </w:pPr>
          </w:p>
        </w:tc>
        <w:tc>
          <w:tcPr>
            <w:tcW w:w="626" w:type="pct"/>
            <w:vMerge w:val="continue"/>
            <w:vAlign w:val="center"/>
          </w:tcPr>
          <w:p w14:paraId="7930D535">
            <w:pPr>
              <w:widowControl/>
              <w:jc w:val="center"/>
              <w:rPr>
                <w:bCs/>
                <w:kern w:val="0"/>
              </w:rPr>
            </w:pPr>
          </w:p>
        </w:tc>
        <w:tc>
          <w:tcPr>
            <w:tcW w:w="739" w:type="pct"/>
            <w:vMerge w:val="continue"/>
            <w:vAlign w:val="center"/>
          </w:tcPr>
          <w:p w14:paraId="61703AC7">
            <w:pPr>
              <w:widowControl/>
              <w:jc w:val="center"/>
              <w:rPr>
                <w:bCs/>
                <w:kern w:val="0"/>
              </w:rPr>
            </w:pPr>
          </w:p>
        </w:tc>
        <w:tc>
          <w:tcPr>
            <w:tcW w:w="1555" w:type="pct"/>
            <w:vAlign w:val="center"/>
          </w:tcPr>
          <w:p w14:paraId="298BCD1F">
            <w:pPr>
              <w:widowControl/>
              <w:jc w:val="center"/>
              <w:rPr>
                <w:bCs/>
                <w:kern w:val="0"/>
              </w:rPr>
            </w:pPr>
            <w:r>
              <w:rPr>
                <w:rFonts w:hint="eastAsia"/>
                <w:bCs/>
                <w:kern w:val="0"/>
              </w:rPr>
              <w:t>名称</w:t>
            </w:r>
          </w:p>
        </w:tc>
        <w:tc>
          <w:tcPr>
            <w:tcW w:w="1713" w:type="pct"/>
            <w:vAlign w:val="center"/>
          </w:tcPr>
          <w:p w14:paraId="7348D628">
            <w:pPr>
              <w:widowControl/>
              <w:jc w:val="center"/>
              <w:rPr>
                <w:bCs/>
                <w:kern w:val="0"/>
              </w:rPr>
            </w:pPr>
            <w:r>
              <w:rPr>
                <w:rFonts w:hint="eastAsia"/>
                <w:bCs/>
                <w:kern w:val="0"/>
              </w:rPr>
              <w:t>浓度限值(mg/L)</w:t>
            </w:r>
          </w:p>
        </w:tc>
      </w:tr>
      <w:tr w14:paraId="6E6C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34172AE5">
            <w:pPr>
              <w:widowControl/>
              <w:jc w:val="center"/>
              <w:rPr>
                <w:bCs/>
                <w:kern w:val="0"/>
              </w:rPr>
            </w:pPr>
            <w:r>
              <w:rPr>
                <w:rFonts w:hint="eastAsia"/>
                <w:bCs/>
                <w:kern w:val="0"/>
              </w:rPr>
              <w:t>1</w:t>
            </w:r>
          </w:p>
        </w:tc>
        <w:tc>
          <w:tcPr>
            <w:tcW w:w="626" w:type="pct"/>
            <w:vMerge w:val="restart"/>
            <w:vAlign w:val="center"/>
          </w:tcPr>
          <w:p w14:paraId="77D5581F">
            <w:pPr>
              <w:widowControl/>
              <w:jc w:val="center"/>
              <w:rPr>
                <w:bCs/>
                <w:kern w:val="0"/>
              </w:rPr>
            </w:pPr>
            <w:r>
              <w:rPr>
                <w:rFonts w:hint="eastAsia"/>
                <w:bCs/>
                <w:kern w:val="0"/>
              </w:rPr>
              <w:t>DW001</w:t>
            </w:r>
          </w:p>
        </w:tc>
        <w:tc>
          <w:tcPr>
            <w:tcW w:w="739" w:type="pct"/>
            <w:vAlign w:val="center"/>
          </w:tcPr>
          <w:p w14:paraId="4EA2A1A9">
            <w:pPr>
              <w:widowControl/>
              <w:jc w:val="center"/>
              <w:rPr>
                <w:bCs/>
                <w:kern w:val="0"/>
              </w:rPr>
            </w:pPr>
            <w:r>
              <w:rPr>
                <w:rFonts w:hint="eastAsia"/>
                <w:bCs/>
                <w:kern w:val="0"/>
              </w:rPr>
              <w:t>COD</w:t>
            </w:r>
          </w:p>
        </w:tc>
        <w:tc>
          <w:tcPr>
            <w:tcW w:w="1555" w:type="pct"/>
            <w:vMerge w:val="restart"/>
            <w:vAlign w:val="center"/>
          </w:tcPr>
          <w:p w14:paraId="5020A8BC">
            <w:pPr>
              <w:widowControl/>
              <w:jc w:val="center"/>
              <w:rPr>
                <w:bCs/>
                <w:kern w:val="0"/>
              </w:rPr>
            </w:pPr>
            <w:r>
              <w:rPr>
                <w:rFonts w:hint="eastAsia"/>
                <w:bCs/>
                <w:kern w:val="0"/>
              </w:rPr>
              <w:t>《污水综合排放标准》(GB8978-1996)三级标准</w:t>
            </w:r>
          </w:p>
        </w:tc>
        <w:tc>
          <w:tcPr>
            <w:tcW w:w="1713" w:type="pct"/>
            <w:vAlign w:val="center"/>
          </w:tcPr>
          <w:p w14:paraId="0FF6140F">
            <w:pPr>
              <w:widowControl/>
              <w:jc w:val="center"/>
              <w:rPr>
                <w:bCs/>
                <w:kern w:val="0"/>
              </w:rPr>
            </w:pPr>
            <w:r>
              <w:rPr>
                <w:rFonts w:hint="eastAsia"/>
                <w:bCs/>
                <w:kern w:val="0"/>
              </w:rPr>
              <w:t>500</w:t>
            </w:r>
          </w:p>
        </w:tc>
      </w:tr>
      <w:tr w14:paraId="6DD2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494D2AB7">
            <w:pPr>
              <w:widowControl/>
              <w:jc w:val="center"/>
              <w:rPr>
                <w:bCs/>
                <w:kern w:val="0"/>
              </w:rPr>
            </w:pPr>
            <w:r>
              <w:rPr>
                <w:rFonts w:hint="eastAsia"/>
                <w:bCs/>
                <w:kern w:val="0"/>
              </w:rPr>
              <w:t>2</w:t>
            </w:r>
          </w:p>
        </w:tc>
        <w:tc>
          <w:tcPr>
            <w:tcW w:w="626" w:type="pct"/>
            <w:vMerge w:val="continue"/>
            <w:vAlign w:val="center"/>
          </w:tcPr>
          <w:p w14:paraId="306C9A4E">
            <w:pPr>
              <w:widowControl/>
              <w:jc w:val="center"/>
              <w:rPr>
                <w:bCs/>
                <w:kern w:val="0"/>
              </w:rPr>
            </w:pPr>
          </w:p>
        </w:tc>
        <w:tc>
          <w:tcPr>
            <w:tcW w:w="739" w:type="pct"/>
            <w:vAlign w:val="center"/>
          </w:tcPr>
          <w:p w14:paraId="5168646C">
            <w:pPr>
              <w:widowControl/>
              <w:jc w:val="center"/>
              <w:rPr>
                <w:bCs/>
                <w:kern w:val="0"/>
              </w:rPr>
            </w:pPr>
            <w:r>
              <w:rPr>
                <w:rFonts w:hint="eastAsia"/>
                <w:bCs/>
                <w:kern w:val="0"/>
              </w:rPr>
              <w:t>NH</w:t>
            </w:r>
            <w:r>
              <w:rPr>
                <w:rFonts w:hint="eastAsia"/>
                <w:bCs/>
                <w:kern w:val="0"/>
                <w:vertAlign w:val="subscript"/>
              </w:rPr>
              <w:t>3</w:t>
            </w:r>
            <w:r>
              <w:rPr>
                <w:rFonts w:hint="eastAsia"/>
                <w:bCs/>
                <w:kern w:val="0"/>
              </w:rPr>
              <w:t>-N</w:t>
            </w:r>
          </w:p>
        </w:tc>
        <w:tc>
          <w:tcPr>
            <w:tcW w:w="1555" w:type="pct"/>
            <w:vMerge w:val="continue"/>
            <w:vAlign w:val="center"/>
          </w:tcPr>
          <w:p w14:paraId="2CE16504">
            <w:pPr>
              <w:widowControl/>
              <w:jc w:val="center"/>
              <w:rPr>
                <w:bCs/>
                <w:kern w:val="0"/>
              </w:rPr>
            </w:pPr>
          </w:p>
        </w:tc>
        <w:tc>
          <w:tcPr>
            <w:tcW w:w="1713" w:type="pct"/>
            <w:vAlign w:val="center"/>
          </w:tcPr>
          <w:p w14:paraId="5DED25DD">
            <w:pPr>
              <w:widowControl/>
              <w:jc w:val="center"/>
              <w:rPr>
                <w:bCs/>
                <w:kern w:val="0"/>
              </w:rPr>
            </w:pPr>
            <w:r>
              <w:rPr>
                <w:rFonts w:hint="eastAsia"/>
                <w:bCs/>
                <w:kern w:val="0"/>
              </w:rPr>
              <w:t>35</w:t>
            </w:r>
          </w:p>
        </w:tc>
      </w:tr>
      <w:tr w14:paraId="1AA5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3F8D1A77">
            <w:pPr>
              <w:widowControl/>
              <w:jc w:val="center"/>
              <w:rPr>
                <w:bCs/>
                <w:kern w:val="0"/>
              </w:rPr>
            </w:pPr>
            <w:r>
              <w:rPr>
                <w:rFonts w:hint="eastAsia"/>
                <w:bCs/>
                <w:kern w:val="0"/>
              </w:rPr>
              <w:t>3</w:t>
            </w:r>
          </w:p>
        </w:tc>
        <w:tc>
          <w:tcPr>
            <w:tcW w:w="626" w:type="pct"/>
            <w:vMerge w:val="continue"/>
            <w:vAlign w:val="center"/>
          </w:tcPr>
          <w:p w14:paraId="233D1D7A">
            <w:pPr>
              <w:widowControl/>
              <w:jc w:val="center"/>
              <w:rPr>
                <w:bCs/>
                <w:kern w:val="0"/>
              </w:rPr>
            </w:pPr>
          </w:p>
        </w:tc>
        <w:tc>
          <w:tcPr>
            <w:tcW w:w="739" w:type="pct"/>
            <w:vAlign w:val="center"/>
          </w:tcPr>
          <w:p w14:paraId="7AA0876A">
            <w:pPr>
              <w:widowControl/>
              <w:jc w:val="center"/>
              <w:rPr>
                <w:bCs/>
                <w:kern w:val="0"/>
              </w:rPr>
            </w:pPr>
            <w:r>
              <w:rPr>
                <w:rFonts w:hint="eastAsia"/>
                <w:bCs/>
                <w:kern w:val="0"/>
              </w:rPr>
              <w:t>石油类</w:t>
            </w:r>
          </w:p>
        </w:tc>
        <w:tc>
          <w:tcPr>
            <w:tcW w:w="1555" w:type="pct"/>
            <w:vMerge w:val="continue"/>
            <w:vAlign w:val="center"/>
          </w:tcPr>
          <w:p w14:paraId="7B77F340">
            <w:pPr>
              <w:widowControl/>
              <w:jc w:val="center"/>
              <w:rPr>
                <w:bCs/>
                <w:kern w:val="0"/>
              </w:rPr>
            </w:pPr>
          </w:p>
        </w:tc>
        <w:tc>
          <w:tcPr>
            <w:tcW w:w="1713" w:type="pct"/>
            <w:vAlign w:val="center"/>
          </w:tcPr>
          <w:p w14:paraId="43BBE74B">
            <w:pPr>
              <w:widowControl/>
              <w:jc w:val="center"/>
              <w:rPr>
                <w:bCs/>
                <w:kern w:val="0"/>
              </w:rPr>
            </w:pPr>
            <w:r>
              <w:rPr>
                <w:rFonts w:hint="eastAsia"/>
                <w:bCs/>
                <w:kern w:val="0"/>
              </w:rPr>
              <w:t>20</w:t>
            </w:r>
          </w:p>
        </w:tc>
      </w:tr>
      <w:tr w14:paraId="4450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489588EC">
            <w:pPr>
              <w:widowControl/>
              <w:jc w:val="center"/>
              <w:rPr>
                <w:bCs/>
                <w:kern w:val="0"/>
              </w:rPr>
            </w:pPr>
            <w:r>
              <w:rPr>
                <w:rFonts w:hint="eastAsia"/>
                <w:bCs/>
                <w:kern w:val="0"/>
              </w:rPr>
              <w:t>4</w:t>
            </w:r>
          </w:p>
        </w:tc>
        <w:tc>
          <w:tcPr>
            <w:tcW w:w="626" w:type="pct"/>
            <w:vMerge w:val="continue"/>
            <w:vAlign w:val="center"/>
          </w:tcPr>
          <w:p w14:paraId="2BB295AF">
            <w:pPr>
              <w:widowControl/>
              <w:jc w:val="center"/>
              <w:rPr>
                <w:bCs/>
                <w:kern w:val="0"/>
              </w:rPr>
            </w:pPr>
          </w:p>
        </w:tc>
        <w:tc>
          <w:tcPr>
            <w:tcW w:w="739" w:type="pct"/>
            <w:vAlign w:val="center"/>
          </w:tcPr>
          <w:p w14:paraId="7D252D24">
            <w:pPr>
              <w:widowControl/>
              <w:jc w:val="center"/>
              <w:rPr>
                <w:bCs/>
                <w:kern w:val="0"/>
              </w:rPr>
            </w:pPr>
            <w:r>
              <w:rPr>
                <w:rFonts w:hint="eastAsia"/>
                <w:bCs/>
                <w:kern w:val="0"/>
              </w:rPr>
              <w:t>SS</w:t>
            </w:r>
          </w:p>
        </w:tc>
        <w:tc>
          <w:tcPr>
            <w:tcW w:w="1555" w:type="pct"/>
            <w:vMerge w:val="continue"/>
            <w:vAlign w:val="center"/>
          </w:tcPr>
          <w:p w14:paraId="1641C4BA">
            <w:pPr>
              <w:widowControl/>
              <w:jc w:val="center"/>
              <w:rPr>
                <w:bCs/>
                <w:kern w:val="0"/>
              </w:rPr>
            </w:pPr>
          </w:p>
        </w:tc>
        <w:tc>
          <w:tcPr>
            <w:tcW w:w="1713" w:type="pct"/>
            <w:vAlign w:val="center"/>
          </w:tcPr>
          <w:p w14:paraId="7424D6C7">
            <w:pPr>
              <w:widowControl/>
              <w:jc w:val="center"/>
              <w:rPr>
                <w:bCs/>
                <w:kern w:val="0"/>
              </w:rPr>
            </w:pPr>
            <w:r>
              <w:rPr>
                <w:rFonts w:hint="eastAsia"/>
                <w:bCs/>
                <w:kern w:val="0"/>
              </w:rPr>
              <w:t>400</w:t>
            </w:r>
          </w:p>
        </w:tc>
      </w:tr>
      <w:tr w14:paraId="3F3D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Align w:val="center"/>
          </w:tcPr>
          <w:p w14:paraId="615F8E55">
            <w:pPr>
              <w:widowControl/>
              <w:jc w:val="center"/>
              <w:rPr>
                <w:bCs/>
                <w:kern w:val="0"/>
              </w:rPr>
            </w:pPr>
            <w:r>
              <w:rPr>
                <w:rFonts w:hint="eastAsia"/>
                <w:bCs/>
                <w:kern w:val="0"/>
              </w:rPr>
              <w:t>5</w:t>
            </w:r>
          </w:p>
        </w:tc>
        <w:tc>
          <w:tcPr>
            <w:tcW w:w="626" w:type="pct"/>
            <w:vMerge w:val="continue"/>
            <w:vAlign w:val="center"/>
          </w:tcPr>
          <w:p w14:paraId="29E4496B">
            <w:pPr>
              <w:widowControl/>
              <w:jc w:val="center"/>
              <w:rPr>
                <w:bCs/>
                <w:kern w:val="0"/>
              </w:rPr>
            </w:pPr>
          </w:p>
        </w:tc>
        <w:tc>
          <w:tcPr>
            <w:tcW w:w="739" w:type="pct"/>
            <w:vAlign w:val="center"/>
          </w:tcPr>
          <w:p w14:paraId="35E14EFC">
            <w:pPr>
              <w:widowControl/>
              <w:jc w:val="center"/>
              <w:rPr>
                <w:bCs/>
                <w:kern w:val="0"/>
              </w:rPr>
            </w:pPr>
            <w:r>
              <w:rPr>
                <w:rFonts w:hint="eastAsia"/>
                <w:bCs/>
                <w:kern w:val="0"/>
              </w:rPr>
              <w:t>LAS</w:t>
            </w:r>
          </w:p>
        </w:tc>
        <w:tc>
          <w:tcPr>
            <w:tcW w:w="1555" w:type="pct"/>
            <w:vMerge w:val="continue"/>
            <w:vAlign w:val="center"/>
          </w:tcPr>
          <w:p w14:paraId="1F9FED78">
            <w:pPr>
              <w:widowControl/>
              <w:jc w:val="center"/>
              <w:rPr>
                <w:bCs/>
                <w:kern w:val="0"/>
              </w:rPr>
            </w:pPr>
          </w:p>
        </w:tc>
        <w:tc>
          <w:tcPr>
            <w:tcW w:w="1713" w:type="pct"/>
            <w:vAlign w:val="center"/>
          </w:tcPr>
          <w:p w14:paraId="5565D8DA">
            <w:pPr>
              <w:widowControl/>
              <w:jc w:val="center"/>
              <w:rPr>
                <w:bCs/>
                <w:kern w:val="0"/>
              </w:rPr>
            </w:pPr>
            <w:r>
              <w:rPr>
                <w:rFonts w:hint="eastAsia"/>
                <w:bCs/>
                <w:kern w:val="0"/>
              </w:rPr>
              <w:t>20</w:t>
            </w:r>
          </w:p>
        </w:tc>
      </w:tr>
    </w:tbl>
    <w:p w14:paraId="247E9484">
      <w:pPr>
        <w:adjustRightInd w:val="0"/>
        <w:snapToGrid w:val="0"/>
        <w:spacing w:line="360" w:lineRule="auto"/>
        <w:ind w:firstLine="480" w:firstLineChars="200"/>
        <w:rPr>
          <w:sz w:val="24"/>
          <w:szCs w:val="24"/>
        </w:rPr>
      </w:pPr>
      <w:r>
        <w:rPr>
          <w:rFonts w:hint="eastAsia"/>
          <w:sz w:val="24"/>
          <w:szCs w:val="24"/>
        </w:rPr>
        <w:t>（8）水源及水平衡</w:t>
      </w:r>
    </w:p>
    <w:p w14:paraId="27146160">
      <w:pPr>
        <w:adjustRightInd w:val="0"/>
        <w:snapToGrid w:val="0"/>
        <w:spacing w:line="360" w:lineRule="auto"/>
        <w:ind w:firstLine="480" w:firstLineChars="200"/>
        <w:rPr>
          <w:sz w:val="24"/>
          <w:szCs w:val="24"/>
        </w:rPr>
      </w:pPr>
      <w:r>
        <w:rPr>
          <w:rFonts w:hint="eastAsia"/>
          <w:sz w:val="24"/>
          <w:szCs w:val="24"/>
        </w:rPr>
        <w:t>本项目建成后全厂新鲜水用水均为自来水，全厂水平衡见下图。</w:t>
      </w:r>
    </w:p>
    <w:p w14:paraId="53E8560C">
      <w:pPr>
        <w:adjustRightInd w:val="0"/>
        <w:snapToGrid w:val="0"/>
        <w:spacing w:line="360" w:lineRule="auto"/>
        <w:ind w:firstLine="480" w:firstLineChars="200"/>
        <w:jc w:val="center"/>
        <w:rPr>
          <w:rFonts w:hint="eastAsia" w:eastAsia="宋体"/>
          <w:sz w:val="24"/>
          <w:szCs w:val="24"/>
          <w:lang w:eastAsia="zh-CN"/>
        </w:rPr>
      </w:pPr>
      <w:r>
        <w:rPr>
          <w:rFonts w:hint="eastAsia"/>
          <w:sz w:val="24"/>
          <w:szCs w:val="24"/>
        </w:rPr>
        <w:drawing>
          <wp:inline distT="0" distB="0" distL="114300" distR="114300">
            <wp:extent cx="4622165" cy="3360420"/>
            <wp:effectExtent l="0" t="0" r="0" b="0"/>
            <wp:docPr id="22" name="图片 22" descr="水平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水平衡"/>
                    <pic:cNvPicPr>
                      <a:picLocks noChangeAspect="1"/>
                    </pic:cNvPicPr>
                  </pic:nvPicPr>
                  <pic:blipFill>
                    <a:blip r:embed="rId16"/>
                    <a:stretch>
                      <a:fillRect/>
                    </a:stretch>
                  </pic:blipFill>
                  <pic:spPr>
                    <a:xfrm>
                      <a:off x="0" y="0"/>
                      <a:ext cx="4622165" cy="3360420"/>
                    </a:xfrm>
                    <a:prstGeom prst="rect">
                      <a:avLst/>
                    </a:prstGeom>
                  </pic:spPr>
                </pic:pic>
              </a:graphicData>
            </a:graphic>
          </wp:inline>
        </w:drawing>
      </w:r>
    </w:p>
    <w:p w14:paraId="1339F0B7">
      <w:pPr>
        <w:adjustRightInd w:val="0"/>
        <w:snapToGrid w:val="0"/>
        <w:spacing w:line="360" w:lineRule="auto"/>
        <w:ind w:firstLine="480" w:firstLineChars="200"/>
        <w:jc w:val="center"/>
        <w:rPr>
          <w:b/>
          <w:bCs/>
          <w:sz w:val="24"/>
          <w:szCs w:val="24"/>
        </w:rPr>
      </w:pPr>
      <w:r>
        <w:rPr>
          <w:rFonts w:hint="eastAsia"/>
          <w:b/>
          <w:bCs/>
          <w:sz w:val="24"/>
          <w:szCs w:val="24"/>
        </w:rPr>
        <w:t>图4 水平衡</w:t>
      </w:r>
    </w:p>
    <w:p w14:paraId="30D4549A">
      <w:pPr>
        <w:pStyle w:val="122"/>
        <w:ind w:firstLine="482"/>
        <w:rPr>
          <w:b/>
          <w:bCs/>
        </w:rPr>
      </w:pPr>
      <w:r>
        <w:rPr>
          <w:rFonts w:hint="eastAsia"/>
          <w:b/>
          <w:bCs/>
        </w:rPr>
        <w:t>1</w:t>
      </w:r>
      <w:r>
        <w:rPr>
          <w:b/>
          <w:bCs/>
        </w:rPr>
        <w:t>.6.3</w:t>
      </w:r>
      <w:r>
        <w:rPr>
          <w:rFonts w:hint="eastAsia"/>
          <w:b/>
          <w:bCs/>
        </w:rPr>
        <w:t>固体废物</w:t>
      </w:r>
    </w:p>
    <w:p w14:paraId="5CBE73A8">
      <w:pPr>
        <w:pStyle w:val="21"/>
        <w:rPr>
          <w:sz w:val="24"/>
          <w:szCs w:val="24"/>
        </w:rPr>
      </w:pPr>
      <w:bookmarkStart w:id="34" w:name="_Toc2723"/>
      <w:r>
        <w:rPr>
          <w:rFonts w:hint="eastAsia"/>
          <w:sz w:val="24"/>
          <w:szCs w:val="24"/>
        </w:rPr>
        <w:t>（1）固体废物源强</w:t>
      </w:r>
      <w:bookmarkEnd w:id="34"/>
    </w:p>
    <w:p w14:paraId="1167DA76">
      <w:pPr>
        <w:pStyle w:val="21"/>
        <w:rPr>
          <w:sz w:val="24"/>
          <w:szCs w:val="24"/>
        </w:rPr>
      </w:pPr>
      <w:r>
        <w:rPr>
          <w:rFonts w:hint="eastAsia"/>
          <w:sz w:val="24"/>
          <w:szCs w:val="24"/>
        </w:rPr>
        <w:t>根据工程分析可知，本项目固废主要包括：S1边角料，S2废布料，S3废皮革，S4漆渣，S5废油漆桶，S6废木屑，S7废活性炭，S8生活垃圾。</w:t>
      </w:r>
    </w:p>
    <w:p w14:paraId="58349FF5">
      <w:pPr>
        <w:pStyle w:val="21"/>
        <w:rPr>
          <w:sz w:val="24"/>
          <w:szCs w:val="24"/>
        </w:rPr>
      </w:pPr>
      <w:r>
        <w:rPr>
          <w:sz w:val="24"/>
          <w:szCs w:val="24"/>
        </w:rPr>
        <w:t>1）</w:t>
      </w:r>
      <w:r>
        <w:rPr>
          <w:rFonts w:hint="eastAsia"/>
          <w:sz w:val="24"/>
          <w:szCs w:val="24"/>
        </w:rPr>
        <w:t>S1边角料</w:t>
      </w:r>
    </w:p>
    <w:p w14:paraId="75E95198">
      <w:pPr>
        <w:pStyle w:val="21"/>
        <w:rPr>
          <w:sz w:val="24"/>
          <w:szCs w:val="24"/>
        </w:rPr>
      </w:pPr>
      <w:r>
        <w:rPr>
          <w:rFonts w:hint="eastAsia"/>
          <w:sz w:val="24"/>
          <w:szCs w:val="24"/>
        </w:rPr>
        <w:t>在生产过程中，“下料、板材加工”等工段对木材、板材分切过程中会产生废木板废木料等，通过类比现有项目的边角料产生情况，废边角料的产生量约占原料用量的0.5%，本项目共计使用橡木和板材共2500t，即产生约12.5t/a的边角料，边角料属于一般工业固废，经收集后外售综合利用</w:t>
      </w:r>
      <w:r>
        <w:rPr>
          <w:sz w:val="24"/>
          <w:szCs w:val="24"/>
        </w:rPr>
        <w:t>。</w:t>
      </w:r>
    </w:p>
    <w:p w14:paraId="12EC1B06">
      <w:pPr>
        <w:pStyle w:val="21"/>
        <w:rPr>
          <w:sz w:val="24"/>
          <w:szCs w:val="24"/>
        </w:rPr>
      </w:pPr>
      <w:r>
        <w:rPr>
          <w:rFonts w:hint="eastAsia"/>
          <w:sz w:val="24"/>
          <w:szCs w:val="24"/>
        </w:rPr>
        <w:t>2）S2废布料</w:t>
      </w:r>
    </w:p>
    <w:p w14:paraId="06D570C0">
      <w:pPr>
        <w:pStyle w:val="21"/>
        <w:rPr>
          <w:sz w:val="24"/>
          <w:szCs w:val="24"/>
        </w:rPr>
      </w:pPr>
      <w:r>
        <w:rPr>
          <w:rFonts w:hint="eastAsia"/>
          <w:sz w:val="24"/>
          <w:szCs w:val="24"/>
        </w:rPr>
        <w:t>本项目产生的废布料主要是软包工序对布料裁剪、修边等过程中产生的，废布料的产生量约为原料用量的2%，即产生约1.5t/a。项目产生的废布料为一般工业固废，由物资回收单位回收再利用。</w:t>
      </w:r>
    </w:p>
    <w:p w14:paraId="455338BC">
      <w:pPr>
        <w:pStyle w:val="21"/>
        <w:rPr>
          <w:sz w:val="24"/>
          <w:szCs w:val="24"/>
        </w:rPr>
      </w:pPr>
      <w:r>
        <w:rPr>
          <w:sz w:val="24"/>
          <w:szCs w:val="24"/>
        </w:rPr>
        <w:t>3</w:t>
      </w:r>
      <w:r>
        <w:rPr>
          <w:rFonts w:hint="eastAsia"/>
          <w:sz w:val="24"/>
          <w:szCs w:val="24"/>
        </w:rPr>
        <w:t>）S3废皮革</w:t>
      </w:r>
    </w:p>
    <w:p w14:paraId="24B46CF9">
      <w:pPr>
        <w:pStyle w:val="21"/>
        <w:rPr>
          <w:sz w:val="24"/>
          <w:szCs w:val="24"/>
        </w:rPr>
      </w:pPr>
      <w:r>
        <w:rPr>
          <w:rFonts w:hint="eastAsia"/>
          <w:sz w:val="24"/>
          <w:szCs w:val="24"/>
        </w:rPr>
        <w:t>与废布料产生情况相同，在软包时对皮革进行裁剪、修边会产生废皮革，产生量约为原料用量的2%，即产生约0.6t/a。项目产生的废皮革为一般工业固废，由物资回收单位回收再利用。</w:t>
      </w:r>
    </w:p>
    <w:p w14:paraId="38C55CC8">
      <w:pPr>
        <w:pStyle w:val="21"/>
        <w:rPr>
          <w:sz w:val="24"/>
          <w:szCs w:val="24"/>
        </w:rPr>
      </w:pPr>
      <w:r>
        <w:rPr>
          <w:rFonts w:hint="eastAsia"/>
          <w:sz w:val="24"/>
          <w:szCs w:val="24"/>
        </w:rPr>
        <w:t>4）S4漆渣</w:t>
      </w:r>
    </w:p>
    <w:p w14:paraId="068533B6">
      <w:pPr>
        <w:pStyle w:val="21"/>
        <w:rPr>
          <w:sz w:val="24"/>
          <w:szCs w:val="24"/>
        </w:rPr>
      </w:pPr>
      <w:r>
        <w:rPr>
          <w:sz w:val="24"/>
          <w:szCs w:val="24"/>
        </w:rPr>
        <w:t>项目喷漆工序中会产生少量的漆雾</w:t>
      </w:r>
      <w:r>
        <w:rPr>
          <w:rFonts w:hint="eastAsia"/>
          <w:sz w:val="24"/>
          <w:szCs w:val="24"/>
        </w:rPr>
        <w:t>，</w:t>
      </w:r>
      <w:r>
        <w:rPr>
          <w:sz w:val="24"/>
          <w:szCs w:val="24"/>
        </w:rPr>
        <w:t>产生量</w:t>
      </w:r>
      <w:r>
        <w:rPr>
          <w:rFonts w:hint="eastAsia"/>
          <w:sz w:val="24"/>
          <w:szCs w:val="24"/>
        </w:rPr>
        <w:t>约</w:t>
      </w:r>
      <w:r>
        <w:rPr>
          <w:sz w:val="24"/>
          <w:szCs w:val="24"/>
        </w:rPr>
        <w:t>为油漆总量的10%</w:t>
      </w:r>
      <w:r>
        <w:rPr>
          <w:rFonts w:hint="eastAsia"/>
          <w:sz w:val="24"/>
          <w:szCs w:val="24"/>
        </w:rPr>
        <w:t>，</w:t>
      </w:r>
      <w:r>
        <w:rPr>
          <w:sz w:val="24"/>
          <w:szCs w:val="24"/>
        </w:rPr>
        <w:t>本项目油漆年用量为 1.0t</w:t>
      </w:r>
      <w:r>
        <w:rPr>
          <w:rFonts w:hint="eastAsia"/>
          <w:sz w:val="24"/>
          <w:szCs w:val="24"/>
        </w:rPr>
        <w:t>，</w:t>
      </w:r>
      <w:r>
        <w:rPr>
          <w:sz w:val="24"/>
          <w:szCs w:val="24"/>
        </w:rPr>
        <w:t>则漆雾产生量为0.1t。</w:t>
      </w:r>
      <w:r>
        <w:rPr>
          <w:rFonts w:hint="eastAsia"/>
          <w:sz w:val="24"/>
          <w:szCs w:val="24"/>
        </w:rPr>
        <w:t>产生的</w:t>
      </w:r>
      <w:r>
        <w:rPr>
          <w:sz w:val="24"/>
          <w:szCs w:val="24"/>
        </w:rPr>
        <w:t>漆雾</w:t>
      </w:r>
      <w:r>
        <w:rPr>
          <w:rFonts w:hint="eastAsia"/>
          <w:sz w:val="24"/>
          <w:szCs w:val="24"/>
        </w:rPr>
        <w:t>会</w:t>
      </w:r>
      <w:r>
        <w:rPr>
          <w:sz w:val="24"/>
          <w:szCs w:val="24"/>
        </w:rPr>
        <w:t>被水帘漆雾净化机洗涤下来</w:t>
      </w:r>
      <w:r>
        <w:rPr>
          <w:rFonts w:hint="eastAsia"/>
          <w:sz w:val="24"/>
          <w:szCs w:val="24"/>
        </w:rPr>
        <w:t>，</w:t>
      </w:r>
      <w:r>
        <w:rPr>
          <w:sz w:val="24"/>
          <w:szCs w:val="24"/>
        </w:rPr>
        <w:t>进入</w:t>
      </w:r>
      <w:r>
        <w:rPr>
          <w:rFonts w:hint="eastAsia"/>
          <w:sz w:val="24"/>
          <w:szCs w:val="24"/>
        </w:rPr>
        <w:t>水帘喷淋</w:t>
      </w:r>
      <w:r>
        <w:rPr>
          <w:sz w:val="24"/>
          <w:szCs w:val="24"/>
        </w:rPr>
        <w:t>水中</w:t>
      </w:r>
      <w:r>
        <w:rPr>
          <w:rFonts w:hint="eastAsia"/>
          <w:sz w:val="24"/>
          <w:szCs w:val="24"/>
        </w:rPr>
        <w:t>，水帘喷淋水定期更换，废水先经预处理（混凝沉淀）后</w:t>
      </w:r>
      <w:r>
        <w:rPr>
          <w:sz w:val="24"/>
          <w:szCs w:val="24"/>
        </w:rPr>
        <w:t>形成漆渣</w:t>
      </w:r>
      <w:r>
        <w:rPr>
          <w:rFonts w:hint="eastAsia"/>
          <w:sz w:val="24"/>
          <w:szCs w:val="24"/>
        </w:rPr>
        <w:t>，将废水中的漆渣打捞过滤后废水纳管排放，由于本项目使用的油漆为水性漆，捞出的漆渣</w:t>
      </w:r>
      <w:r>
        <w:rPr>
          <w:rFonts w:hint="eastAsia"/>
          <w:sz w:val="24"/>
          <w:szCs w:val="24"/>
          <w:lang w:val="en-US" w:eastAsia="zh-CN"/>
        </w:rPr>
        <w:t>不</w:t>
      </w:r>
      <w:r>
        <w:rPr>
          <w:rFonts w:hint="eastAsia"/>
          <w:sz w:val="24"/>
          <w:szCs w:val="24"/>
        </w:rPr>
        <w:t>属于危险废物，，本项目</w:t>
      </w:r>
      <w:r>
        <w:rPr>
          <w:sz w:val="24"/>
          <w:szCs w:val="24"/>
        </w:rPr>
        <w:t>漆渣</w:t>
      </w:r>
      <w:r>
        <w:rPr>
          <w:rFonts w:hint="eastAsia"/>
          <w:sz w:val="24"/>
          <w:szCs w:val="24"/>
        </w:rPr>
        <w:t>产生量约</w:t>
      </w:r>
      <w:r>
        <w:rPr>
          <w:sz w:val="24"/>
          <w:szCs w:val="24"/>
        </w:rPr>
        <w:t>为0.</w:t>
      </w:r>
      <w:r>
        <w:rPr>
          <w:rFonts w:hint="eastAsia"/>
          <w:sz w:val="24"/>
          <w:szCs w:val="24"/>
        </w:rPr>
        <w:t>1</w:t>
      </w:r>
      <w:r>
        <w:rPr>
          <w:sz w:val="24"/>
          <w:szCs w:val="24"/>
        </w:rPr>
        <w:t>t</w:t>
      </w:r>
      <w:r>
        <w:rPr>
          <w:rFonts w:hint="eastAsia"/>
          <w:sz w:val="24"/>
          <w:szCs w:val="24"/>
        </w:rPr>
        <w:t>/a</w:t>
      </w:r>
      <w:r>
        <w:rPr>
          <w:sz w:val="24"/>
          <w:szCs w:val="24"/>
        </w:rPr>
        <w:t>。</w:t>
      </w:r>
      <w:r>
        <w:rPr>
          <w:rFonts w:hint="eastAsia"/>
          <w:sz w:val="24"/>
          <w:szCs w:val="24"/>
        </w:rPr>
        <w:t>按一般工业固废管理要求进行管理。</w:t>
      </w:r>
    </w:p>
    <w:p w14:paraId="3F1D726F">
      <w:pPr>
        <w:pStyle w:val="21"/>
        <w:rPr>
          <w:sz w:val="24"/>
          <w:szCs w:val="24"/>
        </w:rPr>
      </w:pPr>
      <w:r>
        <w:rPr>
          <w:rFonts w:hint="eastAsia"/>
          <w:sz w:val="24"/>
          <w:szCs w:val="24"/>
        </w:rPr>
        <w:t>5）S5废油漆桶</w:t>
      </w:r>
    </w:p>
    <w:p w14:paraId="67BBD155">
      <w:pPr>
        <w:pStyle w:val="21"/>
        <w:rPr>
          <w:sz w:val="24"/>
          <w:szCs w:val="24"/>
        </w:rPr>
      </w:pPr>
      <w:r>
        <w:rPr>
          <w:rFonts w:hint="eastAsia"/>
          <w:sz w:val="24"/>
          <w:szCs w:val="24"/>
        </w:rPr>
        <w:t>根据企业提供的原料及包装规格统计，一般一个废油漆桶约1.2~1.3kg，本次项目建成后全厂合计使用水性油漆1t，按照20kg/桶的规格进行计算，产生废油漆桶约50个，按每个废油漆桶1.25kg进行计算，预计企业生产过程中产生的废油漆桶量为0.0625t/a。则本项目实施后全厂废油漆桶产生量为：0.0625t/a。</w:t>
      </w:r>
    </w:p>
    <w:p w14:paraId="2B5A8EE2">
      <w:pPr>
        <w:pStyle w:val="21"/>
        <w:rPr>
          <w:sz w:val="24"/>
          <w:szCs w:val="24"/>
        </w:rPr>
      </w:pPr>
      <w:r>
        <w:rPr>
          <w:rFonts w:hint="eastAsia"/>
          <w:sz w:val="24"/>
          <w:szCs w:val="24"/>
        </w:rPr>
        <w:t>对照《国家危险废物名录（2025年版）》编号为HW12 染料、涂料废物，废物代码900-299-12，经收集由企业自行贮存后委托有资质单位进行处置。</w:t>
      </w:r>
    </w:p>
    <w:p w14:paraId="4C28483F">
      <w:pPr>
        <w:pStyle w:val="21"/>
        <w:rPr>
          <w:sz w:val="24"/>
          <w:szCs w:val="24"/>
        </w:rPr>
      </w:pPr>
      <w:r>
        <w:rPr>
          <w:rFonts w:hint="eastAsia"/>
          <w:sz w:val="24"/>
          <w:szCs w:val="24"/>
        </w:rPr>
        <w:t>6）S6废木屑</w:t>
      </w:r>
    </w:p>
    <w:p w14:paraId="4068720D">
      <w:pPr>
        <w:pStyle w:val="21"/>
        <w:rPr>
          <w:sz w:val="24"/>
          <w:szCs w:val="24"/>
        </w:rPr>
      </w:pPr>
      <w:r>
        <w:rPr>
          <w:rFonts w:hint="eastAsia"/>
          <w:sz w:val="24"/>
          <w:szCs w:val="24"/>
        </w:rPr>
        <w:t>本项目原料中需进行下料、板（木）材加工、打孔等机加工工序的原辅料为橡木和木材，合计2500m³/a，则项目粉尘产生量约为0.375t/a。各粉尘产生节点配套的集气装置废气收集效率约为80%，袋式过滤器净化效率可达 99%，则粉尘无组织排放量为0.078t/a，经带式过滤器净化收集的粉尘为0.297t/a。则本项目废木屑的产生量为0.297t/a，由物资回收单位回收再利用。</w:t>
      </w:r>
    </w:p>
    <w:p w14:paraId="01EC3C69">
      <w:pPr>
        <w:pStyle w:val="21"/>
        <w:rPr>
          <w:sz w:val="24"/>
          <w:szCs w:val="24"/>
        </w:rPr>
      </w:pPr>
      <w:r>
        <w:rPr>
          <w:rFonts w:hint="eastAsia"/>
          <w:sz w:val="24"/>
          <w:szCs w:val="24"/>
        </w:rPr>
        <w:t>7）废活性炭</w:t>
      </w:r>
    </w:p>
    <w:p w14:paraId="5ED639E5">
      <w:pPr>
        <w:pStyle w:val="21"/>
        <w:rPr>
          <w:sz w:val="24"/>
          <w:szCs w:val="24"/>
        </w:rPr>
      </w:pPr>
      <w:r>
        <w:rPr>
          <w:rFonts w:hint="eastAsia"/>
          <w:sz w:val="24"/>
          <w:szCs w:val="24"/>
        </w:rPr>
        <w:t>本项目喷漆废气收集后经活性炭吸附后排放，会产生废活性炭。该部分固废为危险废物，本项目活性炭装置根据《浙江省分散吸附 -集中再生活性炭法挥发有机物治理体系建设技术指南（试行）》，活性炭选用颗粒状活性炭，碘值在800mg/g以上。对照《杭州市生态环境局关于加快 VOCs 治理活性炭吸附设施升级改造工作的通知》（杭环函[2023]53号），活性炭更换周期一般不应超过累计运行500小时或3个月。本项目活性炭更换频次为</w:t>
      </w:r>
      <w:r>
        <w:rPr>
          <w:sz w:val="24"/>
          <w:szCs w:val="24"/>
        </w:rPr>
        <w:t>3</w:t>
      </w:r>
      <w:r>
        <w:rPr>
          <w:rFonts w:hint="eastAsia"/>
          <w:sz w:val="24"/>
          <w:szCs w:val="24"/>
        </w:rPr>
        <w:t>个月，则本项目废活性炭产生量如下表所示。</w:t>
      </w:r>
    </w:p>
    <w:p w14:paraId="5B77F769">
      <w:pPr>
        <w:pStyle w:val="116"/>
        <w:numPr>
          <w:ilvl w:val="0"/>
          <w:numId w:val="22"/>
        </w:numPr>
        <w:spacing w:before="0" w:beforeLines="0" w:line="360" w:lineRule="auto"/>
        <w:ind w:left="0" w:firstLine="420" w:firstLineChars="200"/>
      </w:pPr>
      <w:r>
        <w:rPr>
          <w:rFonts w:hint="eastAsia"/>
        </w:rPr>
        <w:t>废活性炭产生情况</w:t>
      </w:r>
      <w:r>
        <w:t>一览表</w:t>
      </w:r>
    </w:p>
    <w:tbl>
      <w:tblPr>
        <w:tblStyle w:val="88"/>
        <w:tblW w:w="49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805"/>
        <w:gridCol w:w="805"/>
        <w:gridCol w:w="1126"/>
        <w:gridCol w:w="1126"/>
        <w:gridCol w:w="805"/>
        <w:gridCol w:w="966"/>
        <w:gridCol w:w="965"/>
        <w:gridCol w:w="966"/>
        <w:gridCol w:w="1116"/>
      </w:tblGrid>
      <w:tr w14:paraId="459B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245B533C">
            <w:pPr>
              <w:pStyle w:val="45"/>
              <w:ind w:left="-105" w:leftChars="-50" w:right="-105" w:rightChars="-50"/>
              <w:rPr>
                <w:rFonts w:ascii="Times New Roman" w:hAnsi="Times New Roman"/>
                <w:sz w:val="18"/>
                <w:szCs w:val="18"/>
              </w:rPr>
            </w:pPr>
            <w:r>
              <w:rPr>
                <w:rFonts w:ascii="Times New Roman" w:hAnsi="Times New Roman"/>
                <w:sz w:val="18"/>
                <w:szCs w:val="18"/>
              </w:rPr>
              <w:t>活性炭吸附装置</w:t>
            </w:r>
          </w:p>
        </w:tc>
        <w:tc>
          <w:tcPr>
            <w:tcW w:w="805" w:type="dxa"/>
            <w:shd w:val="clear" w:color="auto" w:fill="auto"/>
            <w:vAlign w:val="center"/>
          </w:tcPr>
          <w:p w14:paraId="5E94E156">
            <w:pPr>
              <w:pStyle w:val="45"/>
              <w:ind w:left="-105" w:leftChars="-50" w:right="-105" w:rightChars="-50"/>
              <w:rPr>
                <w:rFonts w:ascii="Times New Roman" w:hAnsi="Times New Roman"/>
                <w:sz w:val="18"/>
                <w:szCs w:val="18"/>
              </w:rPr>
            </w:pPr>
            <w:r>
              <w:rPr>
                <w:rFonts w:ascii="Times New Roman" w:hAnsi="Times New Roman"/>
                <w:sz w:val="18"/>
                <w:szCs w:val="18"/>
              </w:rPr>
              <w:t>排气筒编号</w:t>
            </w:r>
          </w:p>
        </w:tc>
        <w:tc>
          <w:tcPr>
            <w:tcW w:w="805" w:type="dxa"/>
            <w:shd w:val="clear" w:color="auto" w:fill="auto"/>
            <w:vAlign w:val="center"/>
          </w:tcPr>
          <w:p w14:paraId="10959775">
            <w:pPr>
              <w:pStyle w:val="45"/>
              <w:ind w:left="-105" w:leftChars="-50" w:right="-105" w:rightChars="-50"/>
              <w:rPr>
                <w:rFonts w:ascii="Times New Roman" w:hAnsi="Times New Roman"/>
                <w:sz w:val="18"/>
                <w:szCs w:val="18"/>
              </w:rPr>
            </w:pPr>
            <w:r>
              <w:rPr>
                <w:rFonts w:ascii="Times New Roman" w:hAnsi="Times New Roman"/>
                <w:sz w:val="18"/>
                <w:szCs w:val="18"/>
              </w:rPr>
              <w:t>风量</w:t>
            </w:r>
            <w:r>
              <w:rPr>
                <w:rFonts w:hint="eastAsia"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/h)</w:t>
            </w:r>
          </w:p>
        </w:tc>
        <w:tc>
          <w:tcPr>
            <w:tcW w:w="1126" w:type="dxa"/>
            <w:shd w:val="clear" w:color="auto" w:fill="auto"/>
            <w:vAlign w:val="center"/>
          </w:tcPr>
          <w:p w14:paraId="55E0169B">
            <w:pPr>
              <w:pStyle w:val="45"/>
              <w:ind w:left="-105" w:leftChars="-50" w:right="-105" w:rightChars="-50"/>
              <w:rPr>
                <w:rFonts w:ascii="Times New Roman" w:hAnsi="Times New Roman"/>
                <w:sz w:val="18"/>
                <w:szCs w:val="18"/>
              </w:rPr>
            </w:pPr>
            <w:r>
              <w:rPr>
                <w:rFonts w:ascii="Times New Roman" w:hAnsi="Times New Roman"/>
                <w:sz w:val="18"/>
                <w:szCs w:val="18"/>
              </w:rPr>
              <w:t>污染物初始浓度(mg/m</w:t>
            </w:r>
            <w:r>
              <w:rPr>
                <w:rFonts w:ascii="Times New Roman" w:hAnsi="Times New Roman"/>
                <w:sz w:val="18"/>
                <w:szCs w:val="18"/>
                <w:vertAlign w:val="superscript"/>
              </w:rPr>
              <w:t>3</w:t>
            </w:r>
            <w:r>
              <w:rPr>
                <w:rFonts w:ascii="Times New Roman" w:hAnsi="Times New Roman"/>
                <w:sz w:val="18"/>
                <w:szCs w:val="18"/>
              </w:rPr>
              <w:t>)</w:t>
            </w:r>
          </w:p>
        </w:tc>
        <w:tc>
          <w:tcPr>
            <w:tcW w:w="1126" w:type="dxa"/>
            <w:shd w:val="clear" w:color="auto" w:fill="auto"/>
            <w:vAlign w:val="center"/>
          </w:tcPr>
          <w:p w14:paraId="10D00D81">
            <w:pPr>
              <w:pStyle w:val="45"/>
              <w:ind w:left="-105" w:leftChars="-50" w:right="-105" w:rightChars="-50"/>
              <w:rPr>
                <w:rFonts w:hint="eastAsia" w:ascii="Times New Roman" w:hAnsi="Times New Roman"/>
                <w:sz w:val="18"/>
                <w:szCs w:val="18"/>
              </w:rPr>
            </w:pPr>
            <w:r>
              <w:rPr>
                <w:rFonts w:ascii="Times New Roman" w:hAnsi="Times New Roman"/>
                <w:sz w:val="18"/>
                <w:szCs w:val="18"/>
              </w:rPr>
              <w:t>活性炭最少装填量</w:t>
            </w:r>
            <w:r>
              <w:rPr>
                <w:rFonts w:hint="eastAsia" w:ascii="Times New Roman" w:hAnsi="Times New Roman"/>
                <w:sz w:val="18"/>
                <w:szCs w:val="18"/>
              </w:rPr>
              <w:t>(t/次)</w:t>
            </w:r>
          </w:p>
        </w:tc>
        <w:tc>
          <w:tcPr>
            <w:tcW w:w="805" w:type="dxa"/>
            <w:shd w:val="clear" w:color="auto" w:fill="auto"/>
            <w:vAlign w:val="center"/>
          </w:tcPr>
          <w:p w14:paraId="18A2D57F">
            <w:pPr>
              <w:pStyle w:val="45"/>
              <w:ind w:left="-105" w:leftChars="-50" w:right="-105" w:rightChars="-50"/>
              <w:rPr>
                <w:rFonts w:ascii="Times New Roman" w:hAnsi="Times New Roman"/>
                <w:sz w:val="18"/>
                <w:szCs w:val="18"/>
              </w:rPr>
            </w:pPr>
            <w:r>
              <w:rPr>
                <w:rFonts w:ascii="Times New Roman" w:hAnsi="Times New Roman"/>
                <w:sz w:val="18"/>
                <w:szCs w:val="18"/>
              </w:rPr>
              <w:t>运行时间</w:t>
            </w:r>
            <w:r>
              <w:rPr>
                <w:rFonts w:hint="eastAsia" w:ascii="Times New Roman" w:hAnsi="Times New Roman"/>
                <w:sz w:val="18"/>
                <w:szCs w:val="18"/>
              </w:rPr>
              <w:t>(月</w:t>
            </w:r>
            <w:r>
              <w:rPr>
                <w:rFonts w:ascii="Times New Roman" w:hAnsi="Times New Roman"/>
                <w:sz w:val="18"/>
                <w:szCs w:val="18"/>
              </w:rPr>
              <w:t>)</w:t>
            </w:r>
          </w:p>
        </w:tc>
        <w:tc>
          <w:tcPr>
            <w:tcW w:w="966" w:type="dxa"/>
            <w:shd w:val="clear" w:color="auto" w:fill="auto"/>
            <w:vAlign w:val="center"/>
          </w:tcPr>
          <w:p w14:paraId="39E5357D">
            <w:pPr>
              <w:pStyle w:val="45"/>
              <w:ind w:left="-105" w:leftChars="-50" w:right="-105" w:rightChars="-50"/>
              <w:rPr>
                <w:rFonts w:ascii="Times New Roman" w:hAnsi="Times New Roman"/>
                <w:sz w:val="18"/>
                <w:szCs w:val="18"/>
              </w:rPr>
            </w:pPr>
            <w:r>
              <w:rPr>
                <w:rFonts w:ascii="Times New Roman" w:hAnsi="Times New Roman"/>
                <w:sz w:val="18"/>
                <w:szCs w:val="18"/>
              </w:rPr>
              <w:t>年更换频次</w:t>
            </w:r>
            <w:r>
              <w:rPr>
                <w:rFonts w:hint="eastAsia" w:ascii="Times New Roman" w:hAnsi="Times New Roman"/>
                <w:sz w:val="18"/>
                <w:szCs w:val="18"/>
              </w:rPr>
              <w:t>(次</w:t>
            </w:r>
            <w:r>
              <w:rPr>
                <w:rFonts w:ascii="Times New Roman" w:hAnsi="Times New Roman"/>
                <w:sz w:val="18"/>
                <w:szCs w:val="18"/>
              </w:rPr>
              <w:t>)</w:t>
            </w:r>
          </w:p>
        </w:tc>
        <w:tc>
          <w:tcPr>
            <w:tcW w:w="965" w:type="dxa"/>
            <w:shd w:val="clear" w:color="auto" w:fill="auto"/>
            <w:vAlign w:val="center"/>
          </w:tcPr>
          <w:p w14:paraId="2941D9C6">
            <w:pPr>
              <w:pStyle w:val="45"/>
              <w:ind w:left="-105" w:leftChars="-50" w:right="-105" w:rightChars="-50"/>
              <w:rPr>
                <w:rFonts w:ascii="Times New Roman" w:hAnsi="Times New Roman"/>
                <w:sz w:val="18"/>
                <w:szCs w:val="18"/>
              </w:rPr>
            </w:pPr>
            <w:r>
              <w:rPr>
                <w:rFonts w:hint="eastAsia" w:ascii="Times New Roman" w:hAnsi="Times New Roman"/>
                <w:sz w:val="18"/>
                <w:szCs w:val="18"/>
              </w:rPr>
              <w:t>总装填量(t</w:t>
            </w:r>
            <w:r>
              <w:rPr>
                <w:rFonts w:ascii="Times New Roman" w:hAnsi="Times New Roman"/>
                <w:sz w:val="18"/>
                <w:szCs w:val="18"/>
              </w:rPr>
              <w:t>/a)</w:t>
            </w:r>
          </w:p>
        </w:tc>
        <w:tc>
          <w:tcPr>
            <w:tcW w:w="966" w:type="dxa"/>
            <w:shd w:val="clear" w:color="auto" w:fill="auto"/>
            <w:vAlign w:val="center"/>
          </w:tcPr>
          <w:p w14:paraId="5E4C40D8">
            <w:pPr>
              <w:pStyle w:val="45"/>
              <w:ind w:left="-105" w:leftChars="-50" w:right="-105" w:rightChars="-50"/>
              <w:rPr>
                <w:rFonts w:ascii="Times New Roman" w:hAnsi="Times New Roman"/>
                <w:sz w:val="18"/>
                <w:szCs w:val="18"/>
              </w:rPr>
            </w:pPr>
            <w:r>
              <w:rPr>
                <w:rFonts w:hint="eastAsia" w:ascii="Times New Roman" w:hAnsi="Times New Roman"/>
                <w:sz w:val="18"/>
                <w:szCs w:val="18"/>
              </w:rPr>
              <w:t>总</w:t>
            </w:r>
            <w:r>
              <w:rPr>
                <w:rFonts w:ascii="Times New Roman" w:hAnsi="Times New Roman"/>
                <w:sz w:val="18"/>
                <w:szCs w:val="18"/>
              </w:rPr>
              <w:t>吸附量</w:t>
            </w:r>
            <w:r>
              <w:rPr>
                <w:rFonts w:hint="eastAsia" w:ascii="Times New Roman" w:hAnsi="Times New Roman"/>
                <w:sz w:val="18"/>
                <w:szCs w:val="18"/>
              </w:rPr>
              <w:t>(</w:t>
            </w:r>
            <w:r>
              <w:rPr>
                <w:rFonts w:ascii="Times New Roman" w:hAnsi="Times New Roman"/>
                <w:sz w:val="18"/>
                <w:szCs w:val="18"/>
              </w:rPr>
              <w:t>t/a</w:t>
            </w:r>
            <w:r>
              <w:rPr>
                <w:rFonts w:hint="eastAsia" w:ascii="Times New Roman" w:hAnsi="Times New Roman"/>
                <w:sz w:val="18"/>
                <w:szCs w:val="18"/>
              </w:rPr>
              <w:t>)</w:t>
            </w:r>
          </w:p>
        </w:tc>
        <w:tc>
          <w:tcPr>
            <w:tcW w:w="1116" w:type="dxa"/>
            <w:shd w:val="clear" w:color="auto" w:fill="auto"/>
            <w:vAlign w:val="center"/>
          </w:tcPr>
          <w:p w14:paraId="2E6075FD">
            <w:pPr>
              <w:pStyle w:val="45"/>
              <w:ind w:left="-105" w:leftChars="-50" w:right="-105" w:rightChars="-50"/>
              <w:rPr>
                <w:rFonts w:ascii="Times New Roman" w:hAnsi="Times New Roman"/>
                <w:sz w:val="18"/>
                <w:szCs w:val="18"/>
              </w:rPr>
            </w:pPr>
            <w:r>
              <w:rPr>
                <w:rFonts w:ascii="Times New Roman" w:hAnsi="Times New Roman"/>
                <w:sz w:val="18"/>
                <w:szCs w:val="18"/>
              </w:rPr>
              <w:t>废活性炭产生量</w:t>
            </w:r>
            <w:r>
              <w:rPr>
                <w:rFonts w:hint="eastAsia" w:ascii="Times New Roman" w:hAnsi="Times New Roman"/>
                <w:sz w:val="18"/>
                <w:szCs w:val="18"/>
              </w:rPr>
              <w:t>(</w:t>
            </w:r>
            <w:r>
              <w:rPr>
                <w:rFonts w:ascii="Times New Roman" w:hAnsi="Times New Roman"/>
                <w:sz w:val="18"/>
                <w:szCs w:val="18"/>
              </w:rPr>
              <w:t>t/a)</w:t>
            </w:r>
          </w:p>
        </w:tc>
      </w:tr>
      <w:tr w14:paraId="10B1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6BCF834A">
            <w:pPr>
              <w:pStyle w:val="45"/>
              <w:ind w:left="-105" w:leftChars="-50" w:right="-105" w:rightChars="-50"/>
              <w:rPr>
                <w:rFonts w:ascii="Times New Roman" w:hAnsi="Times New Roman"/>
                <w:sz w:val="18"/>
                <w:szCs w:val="18"/>
              </w:rPr>
            </w:pPr>
            <w:r>
              <w:rPr>
                <w:rFonts w:hint="eastAsia" w:ascii="Times New Roman" w:hAnsi="Times New Roman"/>
                <w:sz w:val="18"/>
                <w:szCs w:val="18"/>
              </w:rPr>
              <w:t>1</w:t>
            </w:r>
            <w:r>
              <w:rPr>
                <w:rFonts w:ascii="Times New Roman" w:hAnsi="Times New Roman"/>
                <w:sz w:val="18"/>
                <w:szCs w:val="18"/>
              </w:rPr>
              <w:t>#</w:t>
            </w:r>
          </w:p>
        </w:tc>
        <w:tc>
          <w:tcPr>
            <w:tcW w:w="805" w:type="dxa"/>
            <w:shd w:val="clear" w:color="auto" w:fill="auto"/>
            <w:vAlign w:val="center"/>
          </w:tcPr>
          <w:p w14:paraId="12EC96DC">
            <w:pPr>
              <w:pStyle w:val="45"/>
              <w:ind w:left="-105" w:leftChars="-50" w:right="-105" w:rightChars="-50"/>
              <w:rPr>
                <w:rFonts w:ascii="Times New Roman" w:hAnsi="Times New Roman"/>
                <w:sz w:val="18"/>
                <w:szCs w:val="18"/>
              </w:rPr>
            </w:pPr>
            <w:r>
              <w:rPr>
                <w:rFonts w:hint="eastAsia" w:ascii="Times New Roman" w:hAnsi="Times New Roman"/>
                <w:sz w:val="18"/>
                <w:szCs w:val="18"/>
              </w:rPr>
              <w:t>DA</w:t>
            </w:r>
            <w:r>
              <w:rPr>
                <w:rFonts w:ascii="Times New Roman" w:hAnsi="Times New Roman"/>
                <w:sz w:val="18"/>
                <w:szCs w:val="18"/>
              </w:rPr>
              <w:t>0</w:t>
            </w:r>
            <w:r>
              <w:rPr>
                <w:rFonts w:hint="eastAsia" w:ascii="Times New Roman" w:hAnsi="Times New Roman"/>
                <w:sz w:val="18"/>
                <w:szCs w:val="18"/>
              </w:rPr>
              <w:t>01</w:t>
            </w:r>
          </w:p>
        </w:tc>
        <w:tc>
          <w:tcPr>
            <w:tcW w:w="805" w:type="dxa"/>
            <w:shd w:val="clear" w:color="auto" w:fill="auto"/>
            <w:vAlign w:val="center"/>
          </w:tcPr>
          <w:p w14:paraId="19643BD5">
            <w:pPr>
              <w:pStyle w:val="45"/>
              <w:ind w:left="-105" w:leftChars="-50" w:right="-105" w:rightChars="-50"/>
              <w:rPr>
                <w:rFonts w:ascii="Times New Roman" w:hAnsi="Times New Roman"/>
                <w:sz w:val="18"/>
                <w:szCs w:val="18"/>
              </w:rPr>
            </w:pPr>
            <w:r>
              <w:rPr>
                <w:rFonts w:hint="eastAsia" w:ascii="Times New Roman" w:hAnsi="Times New Roman"/>
                <w:sz w:val="18"/>
                <w:szCs w:val="18"/>
              </w:rPr>
              <w:t>15</w:t>
            </w:r>
            <w:r>
              <w:rPr>
                <w:rFonts w:ascii="Times New Roman" w:hAnsi="Times New Roman"/>
                <w:sz w:val="18"/>
                <w:szCs w:val="18"/>
              </w:rPr>
              <w:t>000</w:t>
            </w:r>
          </w:p>
        </w:tc>
        <w:tc>
          <w:tcPr>
            <w:tcW w:w="1126" w:type="dxa"/>
            <w:shd w:val="clear" w:color="auto" w:fill="auto"/>
            <w:vAlign w:val="center"/>
          </w:tcPr>
          <w:p w14:paraId="35581FEA">
            <w:pPr>
              <w:pStyle w:val="45"/>
              <w:ind w:left="-105" w:leftChars="-50" w:right="-105" w:rightChars="-50"/>
              <w:rPr>
                <w:rFonts w:ascii="Times New Roman" w:hAnsi="Times New Roman"/>
                <w:sz w:val="18"/>
                <w:szCs w:val="18"/>
              </w:rPr>
            </w:pPr>
            <w:r>
              <w:rPr>
                <w:rFonts w:hint="eastAsia" w:ascii="Times New Roman" w:hAnsi="Times New Roman"/>
                <w:sz w:val="18"/>
                <w:szCs w:val="18"/>
              </w:rPr>
              <w:t>2.53</w:t>
            </w:r>
          </w:p>
        </w:tc>
        <w:tc>
          <w:tcPr>
            <w:tcW w:w="1126" w:type="dxa"/>
            <w:shd w:val="clear" w:color="auto" w:fill="auto"/>
            <w:vAlign w:val="center"/>
          </w:tcPr>
          <w:p w14:paraId="10CD1D11">
            <w:pPr>
              <w:pStyle w:val="45"/>
              <w:ind w:left="-105" w:leftChars="-50" w:right="-105" w:rightChars="-50"/>
              <w:rPr>
                <w:rFonts w:ascii="Times New Roman" w:hAnsi="Times New Roman"/>
                <w:sz w:val="18"/>
                <w:szCs w:val="18"/>
              </w:rPr>
            </w:pPr>
            <w:r>
              <w:rPr>
                <w:rFonts w:hint="eastAsia" w:ascii="Times New Roman" w:hAnsi="Times New Roman"/>
                <w:sz w:val="18"/>
                <w:szCs w:val="18"/>
              </w:rPr>
              <w:t>1</w:t>
            </w:r>
          </w:p>
        </w:tc>
        <w:tc>
          <w:tcPr>
            <w:tcW w:w="805" w:type="dxa"/>
            <w:shd w:val="clear" w:color="auto" w:fill="auto"/>
            <w:vAlign w:val="center"/>
          </w:tcPr>
          <w:p w14:paraId="27E0CC7A">
            <w:pPr>
              <w:pStyle w:val="45"/>
              <w:ind w:left="-105" w:leftChars="-50" w:right="-105" w:rightChars="-50"/>
              <w:rPr>
                <w:rFonts w:ascii="Times New Roman" w:hAnsi="Times New Roman"/>
                <w:sz w:val="18"/>
                <w:szCs w:val="18"/>
              </w:rPr>
            </w:pPr>
            <w:r>
              <w:rPr>
                <w:rFonts w:ascii="Times New Roman" w:hAnsi="Times New Roman"/>
                <w:sz w:val="18"/>
                <w:szCs w:val="18"/>
              </w:rPr>
              <w:t>12</w:t>
            </w:r>
          </w:p>
        </w:tc>
        <w:tc>
          <w:tcPr>
            <w:tcW w:w="966" w:type="dxa"/>
            <w:shd w:val="clear" w:color="auto" w:fill="auto"/>
            <w:vAlign w:val="center"/>
          </w:tcPr>
          <w:p w14:paraId="761119BE">
            <w:pPr>
              <w:pStyle w:val="45"/>
              <w:ind w:left="-105" w:leftChars="-50" w:right="-105" w:rightChars="-50"/>
              <w:rPr>
                <w:rFonts w:ascii="Times New Roman" w:hAnsi="Times New Roman"/>
                <w:sz w:val="18"/>
                <w:szCs w:val="18"/>
              </w:rPr>
            </w:pPr>
            <w:r>
              <w:rPr>
                <w:rFonts w:hint="eastAsia" w:ascii="Times New Roman" w:hAnsi="Times New Roman"/>
                <w:sz w:val="18"/>
                <w:szCs w:val="18"/>
              </w:rPr>
              <w:t>4</w:t>
            </w:r>
          </w:p>
        </w:tc>
        <w:tc>
          <w:tcPr>
            <w:tcW w:w="965" w:type="dxa"/>
            <w:shd w:val="clear" w:color="auto" w:fill="auto"/>
            <w:vAlign w:val="center"/>
          </w:tcPr>
          <w:p w14:paraId="09157B6C">
            <w:pPr>
              <w:pStyle w:val="45"/>
              <w:ind w:left="-105" w:leftChars="-50" w:right="-105" w:rightChars="-50"/>
              <w:rPr>
                <w:rFonts w:ascii="Times New Roman" w:hAnsi="Times New Roman"/>
                <w:sz w:val="18"/>
                <w:szCs w:val="18"/>
              </w:rPr>
            </w:pPr>
            <w:r>
              <w:rPr>
                <w:rFonts w:hint="eastAsia" w:ascii="Times New Roman" w:hAnsi="Times New Roman"/>
                <w:sz w:val="18"/>
                <w:szCs w:val="18"/>
              </w:rPr>
              <w:t>4</w:t>
            </w:r>
          </w:p>
        </w:tc>
        <w:tc>
          <w:tcPr>
            <w:tcW w:w="966" w:type="dxa"/>
            <w:shd w:val="clear" w:color="auto" w:fill="auto"/>
            <w:vAlign w:val="center"/>
          </w:tcPr>
          <w:p w14:paraId="182C9935">
            <w:pPr>
              <w:pStyle w:val="45"/>
              <w:ind w:left="-105" w:leftChars="-50" w:right="-105" w:rightChars="-50"/>
              <w:rPr>
                <w:rFonts w:ascii="Times New Roman" w:hAnsi="Times New Roman"/>
                <w:sz w:val="18"/>
                <w:szCs w:val="18"/>
              </w:rPr>
            </w:pPr>
            <w:r>
              <w:rPr>
                <w:rFonts w:hint="eastAsia" w:ascii="Times New Roman" w:hAnsi="Times New Roman"/>
                <w:sz w:val="18"/>
                <w:szCs w:val="18"/>
              </w:rPr>
              <w:t>0.04</w:t>
            </w:r>
          </w:p>
        </w:tc>
        <w:tc>
          <w:tcPr>
            <w:tcW w:w="1116" w:type="dxa"/>
            <w:shd w:val="clear" w:color="auto" w:fill="auto"/>
            <w:vAlign w:val="center"/>
          </w:tcPr>
          <w:p w14:paraId="01FE37DC">
            <w:pPr>
              <w:pStyle w:val="45"/>
              <w:ind w:left="-105" w:leftChars="-50" w:right="-105" w:rightChars="-50"/>
              <w:rPr>
                <w:rFonts w:ascii="Times New Roman" w:hAnsi="Times New Roman"/>
                <w:sz w:val="18"/>
                <w:szCs w:val="18"/>
              </w:rPr>
            </w:pPr>
            <w:r>
              <w:rPr>
                <w:rFonts w:hint="eastAsia" w:ascii="Times New Roman" w:hAnsi="Times New Roman"/>
                <w:sz w:val="18"/>
                <w:szCs w:val="18"/>
              </w:rPr>
              <w:t>4.04</w:t>
            </w:r>
          </w:p>
        </w:tc>
      </w:tr>
    </w:tbl>
    <w:p w14:paraId="0BB39870">
      <w:pPr>
        <w:pStyle w:val="21"/>
        <w:rPr>
          <w:sz w:val="24"/>
          <w:szCs w:val="24"/>
        </w:rPr>
      </w:pPr>
      <w:r>
        <w:rPr>
          <w:rFonts w:hint="eastAsia"/>
          <w:sz w:val="24"/>
          <w:szCs w:val="24"/>
        </w:rPr>
        <w:t>则废活性炭产生量为4.04t/a（含吸附的有机物）。本项目废活性炭采用分散吸附-集中再生处理，与绿岛单位签署处置协议。</w:t>
      </w:r>
    </w:p>
    <w:p w14:paraId="03EBB631">
      <w:pPr>
        <w:pStyle w:val="21"/>
        <w:rPr>
          <w:sz w:val="24"/>
          <w:szCs w:val="24"/>
        </w:rPr>
      </w:pPr>
      <w:r>
        <w:rPr>
          <w:rFonts w:hint="eastAsia"/>
          <w:sz w:val="24"/>
          <w:szCs w:val="24"/>
        </w:rPr>
        <w:t>8）生活垃圾</w:t>
      </w:r>
    </w:p>
    <w:p w14:paraId="04B91D71">
      <w:pPr>
        <w:pStyle w:val="21"/>
        <w:numPr>
          <w:ilvl w:val="255"/>
          <w:numId w:val="0"/>
        </w:numPr>
        <w:ind w:firstLine="480" w:firstLineChars="200"/>
        <w:rPr>
          <w:sz w:val="24"/>
          <w:szCs w:val="24"/>
        </w:rPr>
      </w:pPr>
      <w:r>
        <w:rPr>
          <w:rFonts w:hint="eastAsia"/>
          <w:sz w:val="24"/>
          <w:szCs w:val="24"/>
        </w:rPr>
        <w:t>本项目劳动定员25人，年工作300天，取生活垃圾产污系数0.5kg/人·天，经计算可得生活垃圾产生量为3.75t/a，生活垃圾由环卫部门统一清运。</w:t>
      </w:r>
    </w:p>
    <w:p w14:paraId="4CAB2EE6">
      <w:pPr>
        <w:spacing w:line="360" w:lineRule="auto"/>
        <w:ind w:firstLine="482"/>
        <w:rPr>
          <w:sz w:val="24"/>
          <w:szCs w:val="24"/>
        </w:rPr>
      </w:pPr>
      <w:r>
        <w:rPr>
          <w:sz w:val="24"/>
          <w:szCs w:val="24"/>
        </w:rPr>
        <w:t>综上，本项目各种副产物产生情况汇总如下：</w:t>
      </w:r>
    </w:p>
    <w:p w14:paraId="5E3305E5">
      <w:pPr>
        <w:pStyle w:val="116"/>
        <w:numPr>
          <w:ilvl w:val="0"/>
          <w:numId w:val="22"/>
        </w:numPr>
        <w:spacing w:before="0" w:beforeLines="0"/>
        <w:ind w:left="0"/>
      </w:pPr>
      <w:r>
        <w:t>项目废物产生情况</w:t>
      </w:r>
      <w:r>
        <w:rPr>
          <w:rFonts w:hint="eastAsia"/>
        </w:rPr>
        <w:t>汇总表</w:t>
      </w:r>
    </w:p>
    <w:tbl>
      <w:tblPr>
        <w:tblStyle w:val="8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51"/>
        <w:gridCol w:w="2021"/>
        <w:gridCol w:w="1326"/>
        <w:gridCol w:w="879"/>
        <w:gridCol w:w="2353"/>
        <w:gridCol w:w="1180"/>
        <w:gridCol w:w="1180"/>
      </w:tblGrid>
      <w:tr w14:paraId="203AAE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667601F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1053" w:type="pct"/>
            <w:vAlign w:val="center"/>
          </w:tcPr>
          <w:p w14:paraId="5835A65C">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副产物名称</w:t>
            </w:r>
          </w:p>
        </w:tc>
        <w:tc>
          <w:tcPr>
            <w:tcW w:w="691" w:type="pct"/>
            <w:vAlign w:val="center"/>
          </w:tcPr>
          <w:p w14:paraId="1D3C048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458" w:type="pct"/>
            <w:vAlign w:val="center"/>
          </w:tcPr>
          <w:p w14:paraId="228627C7">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形态</w:t>
            </w:r>
          </w:p>
        </w:tc>
        <w:tc>
          <w:tcPr>
            <w:tcW w:w="1226" w:type="pct"/>
            <w:vAlign w:val="center"/>
          </w:tcPr>
          <w:p w14:paraId="0FB0BF6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主要成分</w:t>
            </w:r>
          </w:p>
        </w:tc>
        <w:tc>
          <w:tcPr>
            <w:tcW w:w="615" w:type="pct"/>
            <w:vAlign w:val="center"/>
          </w:tcPr>
          <w:p w14:paraId="0AAACE0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615" w:type="pct"/>
            <w:vAlign w:val="center"/>
          </w:tcPr>
          <w:p w14:paraId="55AE713A">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是否固体废物</w:t>
            </w:r>
          </w:p>
        </w:tc>
      </w:tr>
      <w:tr w14:paraId="79D65F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0657EF7D">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1</w:t>
            </w:r>
          </w:p>
        </w:tc>
        <w:tc>
          <w:tcPr>
            <w:tcW w:w="1053" w:type="pct"/>
            <w:vAlign w:val="center"/>
          </w:tcPr>
          <w:p w14:paraId="768B3E23">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边角料</w:t>
            </w:r>
          </w:p>
        </w:tc>
        <w:tc>
          <w:tcPr>
            <w:tcW w:w="691" w:type="pct"/>
            <w:vAlign w:val="center"/>
          </w:tcPr>
          <w:p w14:paraId="56DBB99A">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下料、板材加工</w:t>
            </w:r>
          </w:p>
        </w:tc>
        <w:tc>
          <w:tcPr>
            <w:tcW w:w="458" w:type="pct"/>
            <w:vAlign w:val="center"/>
          </w:tcPr>
          <w:p w14:paraId="466C309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固</w:t>
            </w:r>
          </w:p>
        </w:tc>
        <w:tc>
          <w:tcPr>
            <w:tcW w:w="1226" w:type="pct"/>
            <w:vAlign w:val="center"/>
          </w:tcPr>
          <w:p w14:paraId="3F9032E5">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废边角料</w:t>
            </w:r>
          </w:p>
        </w:tc>
        <w:tc>
          <w:tcPr>
            <w:tcW w:w="615" w:type="pct"/>
            <w:vAlign w:val="center"/>
          </w:tcPr>
          <w:p w14:paraId="19FD5D93">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12.5</w:t>
            </w:r>
          </w:p>
        </w:tc>
        <w:tc>
          <w:tcPr>
            <w:tcW w:w="615" w:type="pct"/>
            <w:vAlign w:val="center"/>
          </w:tcPr>
          <w:p w14:paraId="27FB96D6">
            <w:pPr>
              <w:jc w:val="center"/>
            </w:pPr>
            <w:r>
              <w:t>是</w:t>
            </w:r>
          </w:p>
        </w:tc>
      </w:tr>
      <w:tr w14:paraId="1D08E6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3021DBE0">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2</w:t>
            </w:r>
          </w:p>
        </w:tc>
        <w:tc>
          <w:tcPr>
            <w:tcW w:w="1053" w:type="pct"/>
            <w:vAlign w:val="center"/>
          </w:tcPr>
          <w:p w14:paraId="1DFCDA72">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废布料</w:t>
            </w:r>
          </w:p>
        </w:tc>
        <w:tc>
          <w:tcPr>
            <w:tcW w:w="691" w:type="pct"/>
            <w:vAlign w:val="center"/>
          </w:tcPr>
          <w:p w14:paraId="0855187D">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软包</w:t>
            </w:r>
          </w:p>
        </w:tc>
        <w:tc>
          <w:tcPr>
            <w:tcW w:w="458" w:type="pct"/>
            <w:vAlign w:val="center"/>
          </w:tcPr>
          <w:p w14:paraId="43993B6B">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固</w:t>
            </w:r>
          </w:p>
        </w:tc>
        <w:tc>
          <w:tcPr>
            <w:tcW w:w="1226" w:type="pct"/>
            <w:vAlign w:val="center"/>
          </w:tcPr>
          <w:p w14:paraId="688940B3">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废布料</w:t>
            </w:r>
          </w:p>
        </w:tc>
        <w:tc>
          <w:tcPr>
            <w:tcW w:w="615" w:type="pct"/>
            <w:vAlign w:val="center"/>
          </w:tcPr>
          <w:p w14:paraId="74840225">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1.5</w:t>
            </w:r>
          </w:p>
        </w:tc>
        <w:tc>
          <w:tcPr>
            <w:tcW w:w="615" w:type="pct"/>
            <w:vAlign w:val="center"/>
          </w:tcPr>
          <w:p w14:paraId="07532D98">
            <w:pPr>
              <w:jc w:val="center"/>
            </w:pPr>
            <w:r>
              <w:rPr>
                <w:rFonts w:hint="eastAsia"/>
              </w:rPr>
              <w:t>是</w:t>
            </w:r>
          </w:p>
        </w:tc>
      </w:tr>
      <w:tr w14:paraId="2C7CF8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7977054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3</w:t>
            </w:r>
          </w:p>
        </w:tc>
        <w:tc>
          <w:tcPr>
            <w:tcW w:w="1053" w:type="pct"/>
            <w:vAlign w:val="center"/>
          </w:tcPr>
          <w:p w14:paraId="6611C284">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废皮革</w:t>
            </w:r>
          </w:p>
        </w:tc>
        <w:tc>
          <w:tcPr>
            <w:tcW w:w="691" w:type="pct"/>
            <w:vAlign w:val="center"/>
          </w:tcPr>
          <w:p w14:paraId="52602070">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软包</w:t>
            </w:r>
          </w:p>
        </w:tc>
        <w:tc>
          <w:tcPr>
            <w:tcW w:w="458" w:type="pct"/>
            <w:vAlign w:val="center"/>
          </w:tcPr>
          <w:p w14:paraId="4CC94466">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固</w:t>
            </w:r>
          </w:p>
        </w:tc>
        <w:tc>
          <w:tcPr>
            <w:tcW w:w="1226" w:type="pct"/>
            <w:vAlign w:val="center"/>
          </w:tcPr>
          <w:p w14:paraId="6051E37B">
            <w:pPr>
              <w:pStyle w:val="12"/>
              <w:topLinePunct/>
              <w:ind w:left="0" w:leftChars="0" w:firstLine="0" w:firstLineChars="0"/>
              <w:jc w:val="center"/>
              <w:rPr>
                <w:rFonts w:ascii="Times New Roman" w:hAnsi="Times New Roman"/>
                <w:kern w:val="0"/>
                <w:sz w:val="21"/>
                <w:szCs w:val="21"/>
              </w:rPr>
            </w:pPr>
            <w:r>
              <w:rPr>
                <w:rFonts w:hint="eastAsia" w:ascii="宋体" w:hAnsi="宋体"/>
                <w:kern w:val="0"/>
                <w:sz w:val="21"/>
                <w:szCs w:val="21"/>
                <w:lang w:val="en-US"/>
              </w:rPr>
              <w:t>废皮革</w:t>
            </w:r>
          </w:p>
        </w:tc>
        <w:tc>
          <w:tcPr>
            <w:tcW w:w="615" w:type="pct"/>
            <w:vAlign w:val="center"/>
          </w:tcPr>
          <w:p w14:paraId="4090CB23">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0.6</w:t>
            </w:r>
          </w:p>
        </w:tc>
        <w:tc>
          <w:tcPr>
            <w:tcW w:w="615" w:type="pct"/>
            <w:vAlign w:val="center"/>
          </w:tcPr>
          <w:p w14:paraId="0DCDD54F">
            <w:pPr>
              <w:jc w:val="center"/>
            </w:pPr>
            <w:r>
              <w:t>是</w:t>
            </w:r>
          </w:p>
        </w:tc>
      </w:tr>
      <w:tr w14:paraId="7B7AAE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514838A5">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4</w:t>
            </w:r>
          </w:p>
        </w:tc>
        <w:tc>
          <w:tcPr>
            <w:tcW w:w="1053" w:type="pct"/>
            <w:vAlign w:val="center"/>
          </w:tcPr>
          <w:p w14:paraId="5AB1FB4A">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漆渣</w:t>
            </w:r>
          </w:p>
        </w:tc>
        <w:tc>
          <w:tcPr>
            <w:tcW w:w="691" w:type="pct"/>
            <w:vAlign w:val="center"/>
          </w:tcPr>
          <w:p w14:paraId="79022E8E">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废气处理</w:t>
            </w:r>
          </w:p>
        </w:tc>
        <w:tc>
          <w:tcPr>
            <w:tcW w:w="458" w:type="pct"/>
            <w:vAlign w:val="center"/>
          </w:tcPr>
          <w:p w14:paraId="63C0F445">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固</w:t>
            </w:r>
          </w:p>
        </w:tc>
        <w:tc>
          <w:tcPr>
            <w:tcW w:w="1226" w:type="pct"/>
            <w:vAlign w:val="center"/>
          </w:tcPr>
          <w:p w14:paraId="7C67F07A">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漆渣</w:t>
            </w:r>
          </w:p>
        </w:tc>
        <w:tc>
          <w:tcPr>
            <w:tcW w:w="615" w:type="pct"/>
            <w:vAlign w:val="center"/>
          </w:tcPr>
          <w:p w14:paraId="3A816A5D">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0.1</w:t>
            </w:r>
          </w:p>
        </w:tc>
        <w:tc>
          <w:tcPr>
            <w:tcW w:w="615" w:type="pct"/>
            <w:vAlign w:val="center"/>
          </w:tcPr>
          <w:p w14:paraId="11DA36F2">
            <w:pPr>
              <w:jc w:val="center"/>
            </w:pPr>
            <w:r>
              <w:t>是</w:t>
            </w:r>
          </w:p>
        </w:tc>
      </w:tr>
      <w:tr w14:paraId="26DC15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2C84E3AD">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5</w:t>
            </w:r>
          </w:p>
        </w:tc>
        <w:tc>
          <w:tcPr>
            <w:tcW w:w="1053" w:type="pct"/>
            <w:vAlign w:val="center"/>
          </w:tcPr>
          <w:p w14:paraId="011F3DD7">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废油漆桶</w:t>
            </w:r>
          </w:p>
        </w:tc>
        <w:tc>
          <w:tcPr>
            <w:tcW w:w="691" w:type="pct"/>
            <w:vAlign w:val="center"/>
          </w:tcPr>
          <w:p w14:paraId="26941A5A">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原料包装</w:t>
            </w:r>
          </w:p>
        </w:tc>
        <w:tc>
          <w:tcPr>
            <w:tcW w:w="458" w:type="pct"/>
            <w:vAlign w:val="center"/>
          </w:tcPr>
          <w:p w14:paraId="1AC3BFD9">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固</w:t>
            </w:r>
          </w:p>
        </w:tc>
        <w:tc>
          <w:tcPr>
            <w:tcW w:w="1226" w:type="pct"/>
            <w:vAlign w:val="center"/>
          </w:tcPr>
          <w:p w14:paraId="62A39BF1">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废油漆桶</w:t>
            </w:r>
          </w:p>
        </w:tc>
        <w:tc>
          <w:tcPr>
            <w:tcW w:w="615" w:type="pct"/>
            <w:vAlign w:val="center"/>
          </w:tcPr>
          <w:p w14:paraId="39A26646">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0.0625</w:t>
            </w:r>
          </w:p>
        </w:tc>
        <w:tc>
          <w:tcPr>
            <w:tcW w:w="615" w:type="pct"/>
            <w:vAlign w:val="center"/>
          </w:tcPr>
          <w:p w14:paraId="263A5503">
            <w:pPr>
              <w:jc w:val="center"/>
            </w:pPr>
            <w:r>
              <w:rPr>
                <w:rFonts w:hint="eastAsia"/>
              </w:rPr>
              <w:t>是</w:t>
            </w:r>
          </w:p>
        </w:tc>
      </w:tr>
      <w:tr w14:paraId="4D75BC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643D3EC6">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6</w:t>
            </w:r>
          </w:p>
        </w:tc>
        <w:tc>
          <w:tcPr>
            <w:tcW w:w="1053" w:type="pct"/>
            <w:vAlign w:val="center"/>
          </w:tcPr>
          <w:p w14:paraId="1C9E21F3">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废木屑</w:t>
            </w:r>
          </w:p>
        </w:tc>
        <w:tc>
          <w:tcPr>
            <w:tcW w:w="691" w:type="pct"/>
            <w:vAlign w:val="center"/>
          </w:tcPr>
          <w:p w14:paraId="79892FF4">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458" w:type="pct"/>
            <w:vAlign w:val="center"/>
          </w:tcPr>
          <w:p w14:paraId="1F01AB30">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固</w:t>
            </w:r>
          </w:p>
        </w:tc>
        <w:tc>
          <w:tcPr>
            <w:tcW w:w="1226" w:type="pct"/>
            <w:vAlign w:val="center"/>
          </w:tcPr>
          <w:p w14:paraId="1E111A8B">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废木屑</w:t>
            </w:r>
          </w:p>
        </w:tc>
        <w:tc>
          <w:tcPr>
            <w:tcW w:w="615" w:type="pct"/>
            <w:vAlign w:val="center"/>
          </w:tcPr>
          <w:p w14:paraId="113412A0">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0.297</w:t>
            </w:r>
          </w:p>
        </w:tc>
        <w:tc>
          <w:tcPr>
            <w:tcW w:w="615" w:type="pct"/>
            <w:vAlign w:val="center"/>
          </w:tcPr>
          <w:p w14:paraId="15BB4C95">
            <w:pPr>
              <w:jc w:val="center"/>
            </w:pPr>
            <w:r>
              <w:rPr>
                <w:rFonts w:hint="eastAsia"/>
              </w:rPr>
              <w:t>是</w:t>
            </w:r>
          </w:p>
        </w:tc>
      </w:tr>
      <w:tr w14:paraId="0D1190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38C9B82D">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7</w:t>
            </w:r>
          </w:p>
        </w:tc>
        <w:tc>
          <w:tcPr>
            <w:tcW w:w="1053" w:type="pct"/>
            <w:vAlign w:val="center"/>
          </w:tcPr>
          <w:p w14:paraId="2DAB5A62">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废活性炭</w:t>
            </w:r>
          </w:p>
        </w:tc>
        <w:tc>
          <w:tcPr>
            <w:tcW w:w="691" w:type="pct"/>
            <w:vAlign w:val="center"/>
          </w:tcPr>
          <w:p w14:paraId="21B738BF">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458" w:type="pct"/>
            <w:vAlign w:val="center"/>
          </w:tcPr>
          <w:p w14:paraId="0D08B462">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固</w:t>
            </w:r>
          </w:p>
        </w:tc>
        <w:tc>
          <w:tcPr>
            <w:tcW w:w="1226" w:type="pct"/>
            <w:vAlign w:val="center"/>
          </w:tcPr>
          <w:p w14:paraId="21FCC189">
            <w:pPr>
              <w:pStyle w:val="12"/>
              <w:topLinePunct/>
              <w:ind w:left="0" w:leftChars="0" w:firstLine="0" w:firstLineChars="0"/>
              <w:jc w:val="center"/>
              <w:rPr>
                <w:rFonts w:ascii="Times New Roman" w:hAnsi="Times New Roman"/>
                <w:kern w:val="0"/>
                <w:sz w:val="21"/>
                <w:szCs w:val="21"/>
                <w:lang w:val="en-US"/>
              </w:rPr>
            </w:pPr>
            <w:r>
              <w:rPr>
                <w:rFonts w:hint="eastAsia" w:ascii="宋体" w:hAnsi="宋体"/>
                <w:kern w:val="0"/>
                <w:sz w:val="21"/>
                <w:szCs w:val="21"/>
                <w:lang w:val="en-US"/>
              </w:rPr>
              <w:t>废活性炭</w:t>
            </w:r>
          </w:p>
        </w:tc>
        <w:tc>
          <w:tcPr>
            <w:tcW w:w="615" w:type="pct"/>
            <w:vAlign w:val="center"/>
          </w:tcPr>
          <w:p w14:paraId="78996581">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4.04</w:t>
            </w:r>
          </w:p>
        </w:tc>
        <w:tc>
          <w:tcPr>
            <w:tcW w:w="615" w:type="pct"/>
            <w:vAlign w:val="center"/>
          </w:tcPr>
          <w:p w14:paraId="2FD803AB">
            <w:pPr>
              <w:jc w:val="center"/>
            </w:pPr>
            <w:r>
              <w:rPr>
                <w:rFonts w:hint="eastAsia"/>
              </w:rPr>
              <w:t>是</w:t>
            </w:r>
          </w:p>
        </w:tc>
      </w:tr>
      <w:tr w14:paraId="4BF7FC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75D08097">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8</w:t>
            </w:r>
          </w:p>
        </w:tc>
        <w:tc>
          <w:tcPr>
            <w:tcW w:w="1053" w:type="pct"/>
            <w:vAlign w:val="center"/>
          </w:tcPr>
          <w:p w14:paraId="5AE20555">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生活垃圾</w:t>
            </w:r>
          </w:p>
        </w:tc>
        <w:tc>
          <w:tcPr>
            <w:tcW w:w="691" w:type="pct"/>
            <w:vAlign w:val="center"/>
          </w:tcPr>
          <w:p w14:paraId="2BF37E0C">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员工生活</w:t>
            </w:r>
          </w:p>
        </w:tc>
        <w:tc>
          <w:tcPr>
            <w:tcW w:w="458" w:type="pct"/>
            <w:vAlign w:val="center"/>
          </w:tcPr>
          <w:p w14:paraId="373768FA">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固</w:t>
            </w:r>
          </w:p>
        </w:tc>
        <w:tc>
          <w:tcPr>
            <w:tcW w:w="1226" w:type="pct"/>
            <w:vAlign w:val="center"/>
          </w:tcPr>
          <w:p w14:paraId="63C317C2">
            <w:pPr>
              <w:pStyle w:val="12"/>
              <w:topLinePunct/>
              <w:ind w:left="0" w:leftChars="0" w:firstLine="0" w:firstLineChars="0"/>
              <w:jc w:val="center"/>
              <w:rPr>
                <w:rFonts w:hint="eastAsia" w:ascii="宋体" w:hAnsi="宋体"/>
                <w:kern w:val="0"/>
                <w:sz w:val="21"/>
                <w:szCs w:val="21"/>
                <w:lang w:val="en-US"/>
              </w:rPr>
            </w:pPr>
            <w:r>
              <w:rPr>
                <w:rFonts w:hint="eastAsia" w:ascii="宋体" w:hAnsi="宋体"/>
                <w:kern w:val="0"/>
                <w:sz w:val="21"/>
                <w:szCs w:val="21"/>
                <w:lang w:val="en-US"/>
              </w:rPr>
              <w:t>生活垃圾</w:t>
            </w:r>
          </w:p>
        </w:tc>
        <w:tc>
          <w:tcPr>
            <w:tcW w:w="615" w:type="pct"/>
            <w:vAlign w:val="center"/>
          </w:tcPr>
          <w:p w14:paraId="4E735E9E">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3.75</w:t>
            </w:r>
          </w:p>
        </w:tc>
        <w:tc>
          <w:tcPr>
            <w:tcW w:w="615" w:type="pct"/>
            <w:vAlign w:val="center"/>
          </w:tcPr>
          <w:p w14:paraId="3B01B7E1">
            <w:pPr>
              <w:jc w:val="center"/>
            </w:pPr>
            <w:r>
              <w:rPr>
                <w:rFonts w:hint="eastAsia"/>
              </w:rPr>
              <w:t>是</w:t>
            </w:r>
          </w:p>
        </w:tc>
      </w:tr>
    </w:tbl>
    <w:p w14:paraId="039D573F">
      <w:pPr>
        <w:spacing w:line="360" w:lineRule="auto"/>
        <w:ind w:firstLine="482"/>
        <w:rPr>
          <w:sz w:val="24"/>
          <w:szCs w:val="24"/>
        </w:rPr>
      </w:pPr>
      <w:r>
        <w:rPr>
          <w:sz w:val="24"/>
          <w:szCs w:val="24"/>
        </w:rPr>
        <w:t>根据《国家危险废物名录（202</w:t>
      </w:r>
      <w:r>
        <w:rPr>
          <w:rFonts w:hint="eastAsia"/>
          <w:sz w:val="24"/>
          <w:szCs w:val="24"/>
        </w:rPr>
        <w:t>5年</w:t>
      </w:r>
      <w:r>
        <w:rPr>
          <w:sz w:val="24"/>
          <w:szCs w:val="24"/>
        </w:rPr>
        <w:t>版）》及《危险废物鉴别标准》对上述固体废物是否属于危险废物进行判定，具体如下。</w:t>
      </w:r>
    </w:p>
    <w:p w14:paraId="4628C296">
      <w:pPr>
        <w:pStyle w:val="116"/>
        <w:numPr>
          <w:ilvl w:val="0"/>
          <w:numId w:val="22"/>
        </w:numPr>
        <w:spacing w:before="0" w:beforeLines="0"/>
        <w:ind w:left="0"/>
      </w:pPr>
      <w: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3"/>
        <w:gridCol w:w="1855"/>
        <w:gridCol w:w="1086"/>
        <w:gridCol w:w="1357"/>
        <w:gridCol w:w="1357"/>
        <w:gridCol w:w="1860"/>
        <w:gridCol w:w="1470"/>
      </w:tblGrid>
      <w:tr w14:paraId="51112F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24BDBEE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65" w:type="pct"/>
            <w:vAlign w:val="center"/>
          </w:tcPr>
          <w:p w14:paraId="1E513F3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废物名称</w:t>
            </w:r>
          </w:p>
        </w:tc>
        <w:tc>
          <w:tcPr>
            <w:tcW w:w="565" w:type="pct"/>
            <w:vAlign w:val="center"/>
          </w:tcPr>
          <w:p w14:paraId="2DF2192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706" w:type="pct"/>
            <w:vAlign w:val="center"/>
          </w:tcPr>
          <w:p w14:paraId="3BBB217E">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706" w:type="pct"/>
            <w:vAlign w:val="center"/>
          </w:tcPr>
          <w:p w14:paraId="1500A71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是否属危险废物</w:t>
            </w:r>
          </w:p>
        </w:tc>
        <w:tc>
          <w:tcPr>
            <w:tcW w:w="968" w:type="pct"/>
            <w:tcBorders>
              <w:left w:val="single" w:color="auto" w:sz="4" w:space="0"/>
            </w:tcBorders>
            <w:vAlign w:val="center"/>
          </w:tcPr>
          <w:p w14:paraId="55168EF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危废代码</w:t>
            </w:r>
          </w:p>
        </w:tc>
        <w:tc>
          <w:tcPr>
            <w:tcW w:w="765" w:type="pct"/>
            <w:tcBorders>
              <w:left w:val="single" w:color="auto" w:sz="4" w:space="0"/>
            </w:tcBorders>
            <w:vAlign w:val="center"/>
          </w:tcPr>
          <w:p w14:paraId="5D779EBA">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危险特性</w:t>
            </w:r>
          </w:p>
        </w:tc>
      </w:tr>
      <w:tr w14:paraId="0BFE73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1B4D5588">
            <w:pPr>
              <w:adjustRightInd w:val="0"/>
              <w:snapToGrid w:val="0"/>
              <w:spacing w:line="320" w:lineRule="exact"/>
              <w:jc w:val="center"/>
            </w:pPr>
            <w:r>
              <w:t>1</w:t>
            </w:r>
          </w:p>
        </w:tc>
        <w:tc>
          <w:tcPr>
            <w:tcW w:w="965" w:type="pct"/>
            <w:vAlign w:val="center"/>
          </w:tcPr>
          <w:p w14:paraId="00D70240">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边角料</w:t>
            </w:r>
          </w:p>
        </w:tc>
        <w:tc>
          <w:tcPr>
            <w:tcW w:w="565" w:type="pct"/>
            <w:vAlign w:val="center"/>
          </w:tcPr>
          <w:p w14:paraId="537DFB6F">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下料、板材加工</w:t>
            </w:r>
          </w:p>
        </w:tc>
        <w:tc>
          <w:tcPr>
            <w:tcW w:w="706" w:type="pct"/>
            <w:vAlign w:val="center"/>
          </w:tcPr>
          <w:p w14:paraId="2323B548">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12.5</w:t>
            </w:r>
          </w:p>
        </w:tc>
        <w:tc>
          <w:tcPr>
            <w:tcW w:w="706" w:type="pct"/>
            <w:vAlign w:val="center"/>
          </w:tcPr>
          <w:p w14:paraId="2BEE55F0">
            <w:pPr>
              <w:adjustRightInd w:val="0"/>
              <w:snapToGrid w:val="0"/>
              <w:spacing w:line="320" w:lineRule="exact"/>
              <w:jc w:val="center"/>
            </w:pPr>
            <w:r>
              <w:t>否</w:t>
            </w:r>
          </w:p>
        </w:tc>
        <w:tc>
          <w:tcPr>
            <w:tcW w:w="968" w:type="pct"/>
            <w:tcBorders>
              <w:left w:val="single" w:color="auto" w:sz="4" w:space="0"/>
            </w:tcBorders>
            <w:vAlign w:val="center"/>
          </w:tcPr>
          <w:p w14:paraId="7163964D">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1489F811">
            <w:pPr>
              <w:adjustRightInd w:val="0"/>
              <w:snapToGrid w:val="0"/>
              <w:spacing w:line="320" w:lineRule="exact"/>
              <w:jc w:val="center"/>
              <w:rPr>
                <w:kern w:val="0"/>
              </w:rPr>
            </w:pPr>
            <w:r>
              <w:rPr>
                <w:rFonts w:hint="eastAsia"/>
                <w:kern w:val="0"/>
              </w:rPr>
              <w:t>-</w:t>
            </w:r>
            <w:r>
              <w:rPr>
                <w:kern w:val="0"/>
              </w:rPr>
              <w:t>-</w:t>
            </w:r>
          </w:p>
        </w:tc>
      </w:tr>
      <w:tr w14:paraId="6A022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3BAE42B7">
            <w:pPr>
              <w:adjustRightInd w:val="0"/>
              <w:snapToGrid w:val="0"/>
              <w:spacing w:line="320" w:lineRule="exact"/>
              <w:jc w:val="center"/>
            </w:pPr>
            <w:r>
              <w:rPr>
                <w:rFonts w:hint="eastAsia"/>
              </w:rPr>
              <w:t>2</w:t>
            </w:r>
          </w:p>
        </w:tc>
        <w:tc>
          <w:tcPr>
            <w:tcW w:w="965" w:type="pct"/>
            <w:vAlign w:val="center"/>
          </w:tcPr>
          <w:p w14:paraId="274230E3">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废布料</w:t>
            </w:r>
          </w:p>
        </w:tc>
        <w:tc>
          <w:tcPr>
            <w:tcW w:w="565" w:type="pct"/>
            <w:vAlign w:val="center"/>
          </w:tcPr>
          <w:p w14:paraId="315A361A">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软包</w:t>
            </w:r>
          </w:p>
        </w:tc>
        <w:tc>
          <w:tcPr>
            <w:tcW w:w="706" w:type="pct"/>
            <w:vAlign w:val="center"/>
          </w:tcPr>
          <w:p w14:paraId="6CDA61C7">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1.5</w:t>
            </w:r>
          </w:p>
        </w:tc>
        <w:tc>
          <w:tcPr>
            <w:tcW w:w="706" w:type="pct"/>
            <w:vAlign w:val="center"/>
          </w:tcPr>
          <w:p w14:paraId="10E6036F">
            <w:pPr>
              <w:adjustRightInd w:val="0"/>
              <w:snapToGrid w:val="0"/>
              <w:spacing w:line="320" w:lineRule="exact"/>
              <w:jc w:val="center"/>
            </w:pPr>
            <w:r>
              <w:t>否</w:t>
            </w:r>
          </w:p>
        </w:tc>
        <w:tc>
          <w:tcPr>
            <w:tcW w:w="968" w:type="pct"/>
            <w:tcBorders>
              <w:left w:val="single" w:color="auto" w:sz="4" w:space="0"/>
            </w:tcBorders>
            <w:vAlign w:val="center"/>
          </w:tcPr>
          <w:p w14:paraId="631E81C7">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2465A1EF">
            <w:pPr>
              <w:adjustRightInd w:val="0"/>
              <w:snapToGrid w:val="0"/>
              <w:spacing w:line="320" w:lineRule="exact"/>
              <w:jc w:val="center"/>
              <w:rPr>
                <w:kern w:val="0"/>
              </w:rPr>
            </w:pPr>
            <w:r>
              <w:rPr>
                <w:rFonts w:hint="eastAsia"/>
                <w:kern w:val="0"/>
              </w:rPr>
              <w:t>-</w:t>
            </w:r>
            <w:r>
              <w:rPr>
                <w:kern w:val="0"/>
              </w:rPr>
              <w:t>-</w:t>
            </w:r>
          </w:p>
        </w:tc>
      </w:tr>
      <w:tr w14:paraId="32AC1E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6F343C60">
            <w:pPr>
              <w:adjustRightInd w:val="0"/>
              <w:snapToGrid w:val="0"/>
              <w:spacing w:line="320" w:lineRule="exact"/>
              <w:jc w:val="center"/>
            </w:pPr>
            <w:r>
              <w:rPr>
                <w:rFonts w:hint="eastAsia"/>
              </w:rPr>
              <w:t>3</w:t>
            </w:r>
          </w:p>
        </w:tc>
        <w:tc>
          <w:tcPr>
            <w:tcW w:w="965" w:type="pct"/>
            <w:vAlign w:val="center"/>
          </w:tcPr>
          <w:p w14:paraId="41FD2C61">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废皮革</w:t>
            </w:r>
          </w:p>
        </w:tc>
        <w:tc>
          <w:tcPr>
            <w:tcW w:w="565" w:type="pct"/>
            <w:vAlign w:val="center"/>
          </w:tcPr>
          <w:p w14:paraId="289C68AB">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软包</w:t>
            </w:r>
          </w:p>
        </w:tc>
        <w:tc>
          <w:tcPr>
            <w:tcW w:w="706" w:type="pct"/>
            <w:vAlign w:val="center"/>
          </w:tcPr>
          <w:p w14:paraId="13684363">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0.6</w:t>
            </w:r>
          </w:p>
        </w:tc>
        <w:tc>
          <w:tcPr>
            <w:tcW w:w="706" w:type="pct"/>
            <w:vAlign w:val="center"/>
          </w:tcPr>
          <w:p w14:paraId="21EDE996">
            <w:pPr>
              <w:adjustRightInd w:val="0"/>
              <w:snapToGrid w:val="0"/>
              <w:spacing w:line="320" w:lineRule="exact"/>
              <w:jc w:val="center"/>
            </w:pPr>
            <w:r>
              <w:t>否</w:t>
            </w:r>
          </w:p>
        </w:tc>
        <w:tc>
          <w:tcPr>
            <w:tcW w:w="968" w:type="pct"/>
            <w:tcBorders>
              <w:left w:val="single" w:color="auto" w:sz="4" w:space="0"/>
            </w:tcBorders>
            <w:vAlign w:val="center"/>
          </w:tcPr>
          <w:p w14:paraId="3F26D0F2">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4F2AA942">
            <w:pPr>
              <w:adjustRightInd w:val="0"/>
              <w:snapToGrid w:val="0"/>
              <w:spacing w:line="320" w:lineRule="exact"/>
              <w:jc w:val="center"/>
              <w:rPr>
                <w:kern w:val="0"/>
              </w:rPr>
            </w:pPr>
            <w:r>
              <w:rPr>
                <w:rFonts w:hint="eastAsia"/>
                <w:kern w:val="0"/>
              </w:rPr>
              <w:t>-</w:t>
            </w:r>
            <w:r>
              <w:rPr>
                <w:kern w:val="0"/>
              </w:rPr>
              <w:t>-</w:t>
            </w:r>
          </w:p>
        </w:tc>
      </w:tr>
      <w:tr w14:paraId="06A6D7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101CA4F9">
            <w:pPr>
              <w:adjustRightInd w:val="0"/>
              <w:snapToGrid w:val="0"/>
              <w:spacing w:line="320" w:lineRule="exact"/>
              <w:jc w:val="center"/>
            </w:pPr>
            <w:r>
              <w:t>4</w:t>
            </w:r>
          </w:p>
        </w:tc>
        <w:tc>
          <w:tcPr>
            <w:tcW w:w="965" w:type="pct"/>
            <w:vAlign w:val="center"/>
          </w:tcPr>
          <w:p w14:paraId="35F19C34">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漆渣</w:t>
            </w:r>
          </w:p>
        </w:tc>
        <w:tc>
          <w:tcPr>
            <w:tcW w:w="565" w:type="pct"/>
            <w:vAlign w:val="center"/>
          </w:tcPr>
          <w:p w14:paraId="11025621">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废气处理</w:t>
            </w:r>
          </w:p>
        </w:tc>
        <w:tc>
          <w:tcPr>
            <w:tcW w:w="706" w:type="pct"/>
            <w:vAlign w:val="center"/>
          </w:tcPr>
          <w:p w14:paraId="21AEDE4C">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0.1</w:t>
            </w:r>
          </w:p>
        </w:tc>
        <w:tc>
          <w:tcPr>
            <w:tcW w:w="1357" w:type="dxa"/>
            <w:vAlign w:val="center"/>
          </w:tcPr>
          <w:p w14:paraId="4C92C6D3">
            <w:pPr>
              <w:adjustRightInd w:val="0"/>
              <w:snapToGrid w:val="0"/>
              <w:spacing w:line="320" w:lineRule="exact"/>
              <w:jc w:val="center"/>
            </w:pPr>
            <w:r>
              <w:t>否</w:t>
            </w:r>
          </w:p>
        </w:tc>
        <w:tc>
          <w:tcPr>
            <w:tcW w:w="1860" w:type="dxa"/>
            <w:tcBorders>
              <w:left w:val="single" w:color="auto" w:sz="4" w:space="0"/>
            </w:tcBorders>
            <w:vAlign w:val="center"/>
          </w:tcPr>
          <w:p w14:paraId="35E275DA">
            <w:pPr>
              <w:adjustRightInd w:val="0"/>
              <w:snapToGrid w:val="0"/>
              <w:spacing w:line="320" w:lineRule="exact"/>
              <w:jc w:val="center"/>
              <w:rPr>
                <w:kern w:val="0"/>
              </w:rPr>
            </w:pPr>
            <w:r>
              <w:rPr>
                <w:kern w:val="0"/>
              </w:rPr>
              <w:t>--</w:t>
            </w:r>
          </w:p>
        </w:tc>
        <w:tc>
          <w:tcPr>
            <w:tcW w:w="1470" w:type="dxa"/>
            <w:tcBorders>
              <w:left w:val="single" w:color="auto" w:sz="4" w:space="0"/>
            </w:tcBorders>
            <w:vAlign w:val="center"/>
          </w:tcPr>
          <w:p w14:paraId="4BD006EF">
            <w:pPr>
              <w:adjustRightInd w:val="0"/>
              <w:snapToGrid w:val="0"/>
              <w:spacing w:line="320" w:lineRule="exact"/>
              <w:jc w:val="center"/>
              <w:rPr>
                <w:kern w:val="0"/>
              </w:rPr>
            </w:pPr>
            <w:r>
              <w:rPr>
                <w:rFonts w:hint="eastAsia"/>
                <w:kern w:val="0"/>
              </w:rPr>
              <w:t>-</w:t>
            </w:r>
            <w:r>
              <w:rPr>
                <w:kern w:val="0"/>
              </w:rPr>
              <w:t>-</w:t>
            </w:r>
          </w:p>
        </w:tc>
      </w:tr>
      <w:tr w14:paraId="2EB734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49A1E5A1">
            <w:pPr>
              <w:adjustRightInd w:val="0"/>
              <w:snapToGrid w:val="0"/>
              <w:spacing w:line="320" w:lineRule="exact"/>
              <w:jc w:val="center"/>
            </w:pPr>
            <w:r>
              <w:rPr>
                <w:rFonts w:hint="eastAsia"/>
              </w:rPr>
              <w:t>5</w:t>
            </w:r>
          </w:p>
        </w:tc>
        <w:tc>
          <w:tcPr>
            <w:tcW w:w="965" w:type="pct"/>
            <w:shd w:val="clear" w:color="auto" w:fill="auto"/>
            <w:vAlign w:val="center"/>
          </w:tcPr>
          <w:p w14:paraId="62F32435">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废油漆桶</w:t>
            </w:r>
          </w:p>
        </w:tc>
        <w:tc>
          <w:tcPr>
            <w:tcW w:w="565" w:type="pct"/>
            <w:shd w:val="clear" w:color="auto" w:fill="auto"/>
            <w:vAlign w:val="center"/>
          </w:tcPr>
          <w:p w14:paraId="24C0F37A">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原料包装</w:t>
            </w:r>
          </w:p>
        </w:tc>
        <w:tc>
          <w:tcPr>
            <w:tcW w:w="706" w:type="pct"/>
            <w:vAlign w:val="center"/>
          </w:tcPr>
          <w:p w14:paraId="19494A37">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0.0625</w:t>
            </w:r>
          </w:p>
        </w:tc>
        <w:tc>
          <w:tcPr>
            <w:tcW w:w="706" w:type="pct"/>
            <w:shd w:val="clear" w:color="auto" w:fill="auto"/>
            <w:vAlign w:val="center"/>
          </w:tcPr>
          <w:p w14:paraId="2BB0F0FB">
            <w:pPr>
              <w:adjustRightInd w:val="0"/>
              <w:snapToGrid w:val="0"/>
              <w:spacing w:line="320" w:lineRule="exact"/>
              <w:jc w:val="center"/>
            </w:pPr>
            <w:r>
              <w:rPr>
                <w:rFonts w:hint="eastAsia"/>
              </w:rPr>
              <w:t>是</w:t>
            </w:r>
          </w:p>
        </w:tc>
        <w:tc>
          <w:tcPr>
            <w:tcW w:w="968" w:type="pct"/>
            <w:tcBorders>
              <w:left w:val="single" w:color="auto" w:sz="4" w:space="0"/>
            </w:tcBorders>
            <w:shd w:val="clear" w:color="auto" w:fill="auto"/>
            <w:vAlign w:val="center"/>
          </w:tcPr>
          <w:p w14:paraId="3E198E39">
            <w:pPr>
              <w:adjustRightInd w:val="0"/>
              <w:snapToGrid w:val="0"/>
              <w:spacing w:line="320" w:lineRule="exact"/>
              <w:jc w:val="center"/>
              <w:rPr>
                <w:kern w:val="0"/>
              </w:rPr>
            </w:pPr>
            <w:r>
              <w:rPr>
                <w:rFonts w:hint="eastAsia"/>
                <w:kern w:val="0"/>
              </w:rPr>
              <w:t>HW12/900-299-12</w:t>
            </w:r>
          </w:p>
        </w:tc>
        <w:tc>
          <w:tcPr>
            <w:tcW w:w="765" w:type="pct"/>
            <w:tcBorders>
              <w:left w:val="single" w:color="auto" w:sz="4" w:space="0"/>
            </w:tcBorders>
            <w:shd w:val="clear" w:color="auto" w:fill="auto"/>
            <w:vAlign w:val="center"/>
          </w:tcPr>
          <w:p w14:paraId="7571EDA8">
            <w:pPr>
              <w:adjustRightInd w:val="0"/>
              <w:snapToGrid w:val="0"/>
              <w:spacing w:line="320" w:lineRule="exact"/>
              <w:jc w:val="center"/>
              <w:rPr>
                <w:kern w:val="0"/>
              </w:rPr>
            </w:pPr>
            <w:r>
              <w:rPr>
                <w:kern w:val="0"/>
              </w:rPr>
              <w:t>T</w:t>
            </w:r>
          </w:p>
        </w:tc>
      </w:tr>
      <w:tr w14:paraId="0AFEC3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45707BC0">
            <w:pPr>
              <w:adjustRightInd w:val="0"/>
              <w:snapToGrid w:val="0"/>
              <w:spacing w:line="320" w:lineRule="exact"/>
              <w:jc w:val="center"/>
            </w:pPr>
            <w:r>
              <w:rPr>
                <w:rFonts w:hint="eastAsia"/>
              </w:rPr>
              <w:t>6</w:t>
            </w:r>
          </w:p>
        </w:tc>
        <w:tc>
          <w:tcPr>
            <w:tcW w:w="965" w:type="pct"/>
            <w:shd w:val="clear" w:color="auto" w:fill="auto"/>
            <w:vAlign w:val="center"/>
          </w:tcPr>
          <w:p w14:paraId="07485D34">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废木屑</w:t>
            </w:r>
          </w:p>
        </w:tc>
        <w:tc>
          <w:tcPr>
            <w:tcW w:w="565" w:type="pct"/>
            <w:shd w:val="clear" w:color="auto" w:fill="auto"/>
            <w:vAlign w:val="center"/>
          </w:tcPr>
          <w:p w14:paraId="7E2C4F4E">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706" w:type="pct"/>
            <w:vAlign w:val="center"/>
          </w:tcPr>
          <w:p w14:paraId="04EB651E">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rPr>
              <w:t>0.297</w:t>
            </w:r>
          </w:p>
        </w:tc>
        <w:tc>
          <w:tcPr>
            <w:tcW w:w="706" w:type="pct"/>
            <w:shd w:val="clear" w:color="auto" w:fill="auto"/>
            <w:vAlign w:val="center"/>
          </w:tcPr>
          <w:p w14:paraId="5592D416">
            <w:pPr>
              <w:adjustRightInd w:val="0"/>
              <w:snapToGrid w:val="0"/>
              <w:spacing w:line="320" w:lineRule="exact"/>
              <w:jc w:val="center"/>
            </w:pPr>
            <w:r>
              <w:t>否</w:t>
            </w:r>
          </w:p>
        </w:tc>
        <w:tc>
          <w:tcPr>
            <w:tcW w:w="968" w:type="pct"/>
            <w:tcBorders>
              <w:left w:val="single" w:color="auto" w:sz="4" w:space="0"/>
            </w:tcBorders>
            <w:shd w:val="clear" w:color="auto" w:fill="auto"/>
            <w:vAlign w:val="center"/>
          </w:tcPr>
          <w:p w14:paraId="7CDF45ED">
            <w:pPr>
              <w:adjustRightInd w:val="0"/>
              <w:snapToGrid w:val="0"/>
              <w:spacing w:line="320" w:lineRule="exact"/>
              <w:jc w:val="center"/>
              <w:rPr>
                <w:kern w:val="0"/>
              </w:rPr>
            </w:pPr>
            <w:r>
              <w:rPr>
                <w:kern w:val="0"/>
              </w:rPr>
              <w:t>--</w:t>
            </w:r>
          </w:p>
        </w:tc>
        <w:tc>
          <w:tcPr>
            <w:tcW w:w="765" w:type="pct"/>
            <w:tcBorders>
              <w:left w:val="single" w:color="auto" w:sz="4" w:space="0"/>
            </w:tcBorders>
            <w:shd w:val="clear" w:color="auto" w:fill="auto"/>
            <w:vAlign w:val="center"/>
          </w:tcPr>
          <w:p w14:paraId="1C8A918E">
            <w:pPr>
              <w:adjustRightInd w:val="0"/>
              <w:snapToGrid w:val="0"/>
              <w:spacing w:line="320" w:lineRule="exact"/>
              <w:jc w:val="center"/>
              <w:rPr>
                <w:kern w:val="0"/>
              </w:rPr>
            </w:pPr>
            <w:r>
              <w:rPr>
                <w:rFonts w:hint="eastAsia"/>
                <w:kern w:val="0"/>
              </w:rPr>
              <w:t>-</w:t>
            </w:r>
            <w:r>
              <w:rPr>
                <w:kern w:val="0"/>
              </w:rPr>
              <w:t>-</w:t>
            </w:r>
          </w:p>
        </w:tc>
      </w:tr>
      <w:tr w14:paraId="787FA3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6A92D0AB">
            <w:pPr>
              <w:adjustRightInd w:val="0"/>
              <w:snapToGrid w:val="0"/>
              <w:spacing w:line="320" w:lineRule="exact"/>
              <w:jc w:val="center"/>
            </w:pPr>
            <w:r>
              <w:rPr>
                <w:rFonts w:hint="eastAsia"/>
              </w:rPr>
              <w:t>7</w:t>
            </w:r>
          </w:p>
        </w:tc>
        <w:tc>
          <w:tcPr>
            <w:tcW w:w="965" w:type="pct"/>
            <w:shd w:val="clear" w:color="auto" w:fill="auto"/>
            <w:vAlign w:val="center"/>
          </w:tcPr>
          <w:p w14:paraId="1D5C0DDC">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废活性炭</w:t>
            </w:r>
          </w:p>
        </w:tc>
        <w:tc>
          <w:tcPr>
            <w:tcW w:w="565" w:type="pct"/>
            <w:shd w:val="clear" w:color="auto" w:fill="auto"/>
            <w:vAlign w:val="center"/>
          </w:tcPr>
          <w:p w14:paraId="6F8C6D50">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706" w:type="pct"/>
            <w:vAlign w:val="center"/>
          </w:tcPr>
          <w:p w14:paraId="794A7F55">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4.04</w:t>
            </w:r>
          </w:p>
        </w:tc>
        <w:tc>
          <w:tcPr>
            <w:tcW w:w="706" w:type="pct"/>
            <w:shd w:val="clear" w:color="auto" w:fill="auto"/>
            <w:vAlign w:val="center"/>
          </w:tcPr>
          <w:p w14:paraId="3A03E806">
            <w:pPr>
              <w:adjustRightInd w:val="0"/>
              <w:snapToGrid w:val="0"/>
              <w:spacing w:line="320" w:lineRule="exact"/>
              <w:jc w:val="center"/>
            </w:pPr>
            <w:r>
              <w:rPr>
                <w:rFonts w:hint="eastAsia"/>
              </w:rPr>
              <w:t>是</w:t>
            </w:r>
          </w:p>
        </w:tc>
        <w:tc>
          <w:tcPr>
            <w:tcW w:w="968" w:type="pct"/>
            <w:tcBorders>
              <w:left w:val="single" w:color="auto" w:sz="4" w:space="0"/>
            </w:tcBorders>
            <w:shd w:val="clear" w:color="auto" w:fill="auto"/>
            <w:vAlign w:val="center"/>
          </w:tcPr>
          <w:p w14:paraId="42E909AB">
            <w:pPr>
              <w:adjustRightInd w:val="0"/>
              <w:snapToGrid w:val="0"/>
              <w:spacing w:line="320" w:lineRule="exact"/>
              <w:jc w:val="center"/>
              <w:rPr>
                <w:kern w:val="0"/>
              </w:rPr>
            </w:pPr>
            <w:r>
              <w:rPr>
                <w:rFonts w:hint="eastAsia"/>
                <w:kern w:val="0"/>
              </w:rPr>
              <w:t>H</w:t>
            </w:r>
            <w:r>
              <w:rPr>
                <w:kern w:val="0"/>
              </w:rPr>
              <w:t>W49/900-039-49</w:t>
            </w:r>
          </w:p>
        </w:tc>
        <w:tc>
          <w:tcPr>
            <w:tcW w:w="765" w:type="pct"/>
            <w:tcBorders>
              <w:left w:val="single" w:color="auto" w:sz="4" w:space="0"/>
            </w:tcBorders>
            <w:shd w:val="clear" w:color="auto" w:fill="auto"/>
            <w:vAlign w:val="center"/>
          </w:tcPr>
          <w:p w14:paraId="0124B6A6">
            <w:pPr>
              <w:adjustRightInd w:val="0"/>
              <w:snapToGrid w:val="0"/>
              <w:spacing w:line="320" w:lineRule="exact"/>
              <w:jc w:val="center"/>
              <w:rPr>
                <w:kern w:val="0"/>
              </w:rPr>
            </w:pPr>
            <w:r>
              <w:rPr>
                <w:kern w:val="0"/>
              </w:rPr>
              <w:t>T</w:t>
            </w:r>
          </w:p>
        </w:tc>
      </w:tr>
      <w:tr w14:paraId="3FB47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53AC3029">
            <w:pPr>
              <w:adjustRightInd w:val="0"/>
              <w:snapToGrid w:val="0"/>
              <w:spacing w:line="320" w:lineRule="exact"/>
              <w:jc w:val="center"/>
            </w:pPr>
            <w:r>
              <w:rPr>
                <w:rFonts w:hint="eastAsia"/>
              </w:rPr>
              <w:t>8</w:t>
            </w:r>
          </w:p>
        </w:tc>
        <w:tc>
          <w:tcPr>
            <w:tcW w:w="965" w:type="pct"/>
            <w:shd w:val="clear" w:color="auto" w:fill="auto"/>
            <w:vAlign w:val="center"/>
          </w:tcPr>
          <w:p w14:paraId="0FC06B71">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生活垃圾</w:t>
            </w:r>
          </w:p>
        </w:tc>
        <w:tc>
          <w:tcPr>
            <w:tcW w:w="565" w:type="pct"/>
            <w:shd w:val="clear" w:color="auto" w:fill="auto"/>
            <w:vAlign w:val="center"/>
          </w:tcPr>
          <w:p w14:paraId="63E679A8">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员工生活</w:t>
            </w:r>
          </w:p>
        </w:tc>
        <w:tc>
          <w:tcPr>
            <w:tcW w:w="706" w:type="pct"/>
            <w:vAlign w:val="center"/>
          </w:tcPr>
          <w:p w14:paraId="1BD6174C">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3.75</w:t>
            </w:r>
          </w:p>
        </w:tc>
        <w:tc>
          <w:tcPr>
            <w:tcW w:w="706" w:type="pct"/>
            <w:shd w:val="clear" w:color="auto" w:fill="auto"/>
            <w:vAlign w:val="center"/>
          </w:tcPr>
          <w:p w14:paraId="7F487C59">
            <w:pPr>
              <w:adjustRightInd w:val="0"/>
              <w:snapToGrid w:val="0"/>
              <w:spacing w:line="320" w:lineRule="exact"/>
              <w:jc w:val="center"/>
            </w:pPr>
            <w:r>
              <w:rPr>
                <w:rFonts w:hint="eastAsia"/>
              </w:rPr>
              <w:t>否</w:t>
            </w:r>
          </w:p>
        </w:tc>
        <w:tc>
          <w:tcPr>
            <w:tcW w:w="968" w:type="pct"/>
            <w:tcBorders>
              <w:left w:val="single" w:color="auto" w:sz="4" w:space="0"/>
            </w:tcBorders>
            <w:shd w:val="clear" w:color="auto" w:fill="auto"/>
            <w:vAlign w:val="center"/>
          </w:tcPr>
          <w:p w14:paraId="1AD755F3">
            <w:pPr>
              <w:adjustRightInd w:val="0"/>
              <w:snapToGrid w:val="0"/>
              <w:spacing w:line="320" w:lineRule="exact"/>
              <w:jc w:val="center"/>
              <w:rPr>
                <w:kern w:val="0"/>
              </w:rPr>
            </w:pPr>
            <w:r>
              <w:rPr>
                <w:rFonts w:hint="eastAsia"/>
                <w:kern w:val="0"/>
              </w:rPr>
              <w:t>--</w:t>
            </w:r>
          </w:p>
        </w:tc>
        <w:tc>
          <w:tcPr>
            <w:tcW w:w="765" w:type="pct"/>
            <w:tcBorders>
              <w:left w:val="single" w:color="auto" w:sz="4" w:space="0"/>
            </w:tcBorders>
            <w:shd w:val="clear" w:color="auto" w:fill="auto"/>
            <w:vAlign w:val="center"/>
          </w:tcPr>
          <w:p w14:paraId="5209093E">
            <w:pPr>
              <w:adjustRightInd w:val="0"/>
              <w:snapToGrid w:val="0"/>
              <w:spacing w:line="320" w:lineRule="exact"/>
              <w:jc w:val="center"/>
              <w:rPr>
                <w:kern w:val="0"/>
              </w:rPr>
            </w:pPr>
            <w:r>
              <w:rPr>
                <w:rFonts w:hint="eastAsia"/>
                <w:kern w:val="0"/>
              </w:rPr>
              <w:t>--</w:t>
            </w:r>
          </w:p>
        </w:tc>
      </w:tr>
    </w:tbl>
    <w:p w14:paraId="0879F81B">
      <w:pPr>
        <w:spacing w:line="360" w:lineRule="auto"/>
        <w:ind w:firstLine="480" w:firstLineChars="200"/>
        <w:rPr>
          <w:sz w:val="24"/>
          <w:szCs w:val="24"/>
        </w:rPr>
      </w:pPr>
      <w:r>
        <w:rPr>
          <w:rFonts w:hint="eastAsia"/>
          <w:sz w:val="24"/>
          <w:szCs w:val="24"/>
        </w:rPr>
        <w:t>本项目固废产生情况汇总如下。</w:t>
      </w:r>
    </w:p>
    <w:p w14:paraId="4A2FD9C2">
      <w:pPr>
        <w:pStyle w:val="116"/>
        <w:numPr>
          <w:ilvl w:val="0"/>
          <w:numId w:val="21"/>
        </w:numPr>
        <w:spacing w:before="0" w:beforeLines="0" w:line="360" w:lineRule="auto"/>
        <w:ind w:left="0" w:firstLine="0"/>
        <w:rPr>
          <w:sz w:val="24"/>
        </w:rPr>
      </w:pPr>
      <w:r>
        <w:rPr>
          <w:sz w:val="24"/>
        </w:rPr>
        <w:t>项目固废污染源源强核算结果及相关参数一览表</w:t>
      </w:r>
    </w:p>
    <w:tbl>
      <w:tblPr>
        <w:tblStyle w:val="88"/>
        <w:tblW w:w="50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2"/>
        <w:gridCol w:w="1166"/>
        <w:gridCol w:w="1591"/>
        <w:gridCol w:w="1582"/>
        <w:gridCol w:w="435"/>
        <w:gridCol w:w="1010"/>
        <w:gridCol w:w="723"/>
        <w:gridCol w:w="721"/>
        <w:gridCol w:w="870"/>
        <w:gridCol w:w="1195"/>
      </w:tblGrid>
      <w:tr w14:paraId="6686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2" w:type="pct"/>
            <w:vMerge w:val="restart"/>
            <w:vAlign w:val="center"/>
          </w:tcPr>
          <w:p w14:paraId="28C1B8ED">
            <w:pPr>
              <w:widowControl/>
              <w:jc w:val="center"/>
              <w:rPr>
                <w:kern w:val="0"/>
              </w:rPr>
            </w:pPr>
            <w:r>
              <w:rPr>
                <w:kern w:val="0"/>
              </w:rPr>
              <w:t>序号</w:t>
            </w:r>
          </w:p>
        </w:tc>
        <w:tc>
          <w:tcPr>
            <w:tcW w:w="600" w:type="pct"/>
            <w:vMerge w:val="restart"/>
            <w:vAlign w:val="center"/>
          </w:tcPr>
          <w:p w14:paraId="2AE02095">
            <w:pPr>
              <w:widowControl/>
              <w:jc w:val="center"/>
              <w:rPr>
                <w:kern w:val="0"/>
              </w:rPr>
            </w:pPr>
            <w:r>
              <w:rPr>
                <w:kern w:val="0"/>
              </w:rPr>
              <w:t>工序/生产线</w:t>
            </w:r>
          </w:p>
        </w:tc>
        <w:tc>
          <w:tcPr>
            <w:tcW w:w="819" w:type="pct"/>
            <w:vMerge w:val="restart"/>
            <w:vAlign w:val="center"/>
          </w:tcPr>
          <w:p w14:paraId="734ECEB7">
            <w:pPr>
              <w:widowControl/>
              <w:jc w:val="center"/>
              <w:rPr>
                <w:kern w:val="0"/>
              </w:rPr>
            </w:pPr>
            <w:r>
              <w:rPr>
                <w:kern w:val="0"/>
              </w:rPr>
              <w:t>固体废物名称</w:t>
            </w:r>
          </w:p>
        </w:tc>
        <w:tc>
          <w:tcPr>
            <w:tcW w:w="814" w:type="pct"/>
            <w:vMerge w:val="restart"/>
            <w:vAlign w:val="center"/>
          </w:tcPr>
          <w:p w14:paraId="315D3379">
            <w:pPr>
              <w:widowControl/>
              <w:jc w:val="center"/>
              <w:rPr>
                <w:kern w:val="0"/>
              </w:rPr>
            </w:pPr>
            <w:r>
              <w:rPr>
                <w:kern w:val="0"/>
              </w:rPr>
              <w:t>主要成分</w:t>
            </w:r>
          </w:p>
        </w:tc>
        <w:tc>
          <w:tcPr>
            <w:tcW w:w="224" w:type="pct"/>
            <w:vMerge w:val="restart"/>
            <w:vAlign w:val="center"/>
          </w:tcPr>
          <w:p w14:paraId="5F8C7F7F">
            <w:pPr>
              <w:widowControl/>
              <w:jc w:val="center"/>
              <w:rPr>
                <w:kern w:val="0"/>
              </w:rPr>
            </w:pPr>
            <w:r>
              <w:rPr>
                <w:kern w:val="0"/>
              </w:rPr>
              <w:t>固废属性</w:t>
            </w:r>
          </w:p>
        </w:tc>
        <w:tc>
          <w:tcPr>
            <w:tcW w:w="892" w:type="pct"/>
            <w:gridSpan w:val="2"/>
            <w:vAlign w:val="center"/>
          </w:tcPr>
          <w:p w14:paraId="2C042379">
            <w:pPr>
              <w:widowControl/>
              <w:jc w:val="center"/>
              <w:rPr>
                <w:kern w:val="0"/>
              </w:rPr>
            </w:pPr>
            <w:r>
              <w:rPr>
                <w:kern w:val="0"/>
              </w:rPr>
              <w:t>产生情况</w:t>
            </w:r>
          </w:p>
        </w:tc>
        <w:tc>
          <w:tcPr>
            <w:tcW w:w="819" w:type="pct"/>
            <w:gridSpan w:val="2"/>
            <w:vAlign w:val="center"/>
          </w:tcPr>
          <w:p w14:paraId="35D1A7DC">
            <w:pPr>
              <w:widowControl/>
              <w:jc w:val="center"/>
              <w:rPr>
                <w:kern w:val="0"/>
              </w:rPr>
            </w:pPr>
            <w:r>
              <w:rPr>
                <w:kern w:val="0"/>
              </w:rPr>
              <w:t>处置措施</w:t>
            </w:r>
          </w:p>
        </w:tc>
        <w:tc>
          <w:tcPr>
            <w:tcW w:w="615" w:type="pct"/>
            <w:vMerge w:val="restart"/>
            <w:vAlign w:val="center"/>
          </w:tcPr>
          <w:p w14:paraId="472160AA">
            <w:pPr>
              <w:widowControl/>
              <w:jc w:val="center"/>
              <w:rPr>
                <w:kern w:val="0"/>
              </w:rPr>
            </w:pPr>
            <w:r>
              <w:rPr>
                <w:kern w:val="0"/>
              </w:rPr>
              <w:t>最终去向</w:t>
            </w:r>
          </w:p>
        </w:tc>
      </w:tr>
      <w:tr w14:paraId="4875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2" w:type="pct"/>
            <w:vMerge w:val="continue"/>
            <w:vAlign w:val="center"/>
          </w:tcPr>
          <w:p w14:paraId="43935BFB">
            <w:pPr>
              <w:widowControl/>
              <w:jc w:val="center"/>
              <w:rPr>
                <w:kern w:val="0"/>
              </w:rPr>
            </w:pPr>
          </w:p>
        </w:tc>
        <w:tc>
          <w:tcPr>
            <w:tcW w:w="600" w:type="pct"/>
            <w:vMerge w:val="continue"/>
            <w:vAlign w:val="center"/>
          </w:tcPr>
          <w:p w14:paraId="073C8760">
            <w:pPr>
              <w:widowControl/>
              <w:jc w:val="center"/>
              <w:rPr>
                <w:kern w:val="0"/>
              </w:rPr>
            </w:pPr>
          </w:p>
        </w:tc>
        <w:tc>
          <w:tcPr>
            <w:tcW w:w="819" w:type="pct"/>
            <w:vMerge w:val="continue"/>
            <w:vAlign w:val="center"/>
          </w:tcPr>
          <w:p w14:paraId="38222386">
            <w:pPr>
              <w:widowControl/>
              <w:jc w:val="center"/>
              <w:rPr>
                <w:kern w:val="0"/>
              </w:rPr>
            </w:pPr>
          </w:p>
        </w:tc>
        <w:tc>
          <w:tcPr>
            <w:tcW w:w="814" w:type="pct"/>
            <w:vMerge w:val="continue"/>
            <w:vAlign w:val="center"/>
          </w:tcPr>
          <w:p w14:paraId="10B9A79F">
            <w:pPr>
              <w:widowControl/>
              <w:jc w:val="center"/>
              <w:rPr>
                <w:kern w:val="0"/>
              </w:rPr>
            </w:pPr>
          </w:p>
        </w:tc>
        <w:tc>
          <w:tcPr>
            <w:tcW w:w="224" w:type="pct"/>
            <w:vMerge w:val="continue"/>
            <w:vAlign w:val="center"/>
          </w:tcPr>
          <w:p w14:paraId="3D602D5E">
            <w:pPr>
              <w:widowControl/>
              <w:jc w:val="center"/>
              <w:rPr>
                <w:kern w:val="0"/>
              </w:rPr>
            </w:pPr>
          </w:p>
        </w:tc>
        <w:tc>
          <w:tcPr>
            <w:tcW w:w="520" w:type="pct"/>
            <w:vAlign w:val="center"/>
          </w:tcPr>
          <w:p w14:paraId="2DB9483D">
            <w:pPr>
              <w:widowControl/>
              <w:jc w:val="center"/>
              <w:rPr>
                <w:kern w:val="0"/>
              </w:rPr>
            </w:pPr>
            <w:r>
              <w:rPr>
                <w:kern w:val="0"/>
              </w:rPr>
              <w:t>核算方法</w:t>
            </w:r>
          </w:p>
        </w:tc>
        <w:tc>
          <w:tcPr>
            <w:tcW w:w="372" w:type="pct"/>
            <w:vAlign w:val="center"/>
          </w:tcPr>
          <w:p w14:paraId="381524E0">
            <w:pPr>
              <w:widowControl/>
              <w:jc w:val="center"/>
              <w:rPr>
                <w:kern w:val="0"/>
              </w:rPr>
            </w:pPr>
            <w:r>
              <w:rPr>
                <w:kern w:val="0"/>
              </w:rPr>
              <w:t>产生量(t/a)</w:t>
            </w:r>
          </w:p>
        </w:tc>
        <w:tc>
          <w:tcPr>
            <w:tcW w:w="371" w:type="pct"/>
            <w:vAlign w:val="center"/>
          </w:tcPr>
          <w:p w14:paraId="1E34819D">
            <w:pPr>
              <w:widowControl/>
              <w:jc w:val="center"/>
              <w:rPr>
                <w:kern w:val="0"/>
              </w:rPr>
            </w:pPr>
            <w:r>
              <w:rPr>
                <w:kern w:val="0"/>
              </w:rPr>
              <w:t>工艺</w:t>
            </w:r>
          </w:p>
        </w:tc>
        <w:tc>
          <w:tcPr>
            <w:tcW w:w="448" w:type="pct"/>
            <w:vAlign w:val="center"/>
          </w:tcPr>
          <w:p w14:paraId="5F5D2E83">
            <w:pPr>
              <w:widowControl/>
              <w:jc w:val="center"/>
              <w:rPr>
                <w:kern w:val="0"/>
              </w:rPr>
            </w:pPr>
            <w:r>
              <w:rPr>
                <w:kern w:val="0"/>
              </w:rPr>
              <w:t>处置量(t/a)</w:t>
            </w:r>
          </w:p>
        </w:tc>
        <w:tc>
          <w:tcPr>
            <w:tcW w:w="615" w:type="pct"/>
            <w:vMerge w:val="continue"/>
            <w:vAlign w:val="center"/>
          </w:tcPr>
          <w:p w14:paraId="14CE4690">
            <w:pPr>
              <w:widowControl/>
              <w:jc w:val="center"/>
              <w:rPr>
                <w:kern w:val="0"/>
              </w:rPr>
            </w:pPr>
          </w:p>
        </w:tc>
      </w:tr>
      <w:tr w14:paraId="0C6A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212" w:type="pct"/>
            <w:vAlign w:val="center"/>
          </w:tcPr>
          <w:p w14:paraId="66DA3768">
            <w:pPr>
              <w:widowControl/>
              <w:jc w:val="center"/>
              <w:rPr>
                <w:kern w:val="0"/>
              </w:rPr>
            </w:pPr>
            <w:r>
              <w:t>1</w:t>
            </w:r>
          </w:p>
        </w:tc>
        <w:tc>
          <w:tcPr>
            <w:tcW w:w="600" w:type="pct"/>
            <w:vAlign w:val="center"/>
          </w:tcPr>
          <w:p w14:paraId="5C8C7BED">
            <w:pPr>
              <w:pStyle w:val="12"/>
              <w:topLinePunct/>
              <w:ind w:left="0" w:leftChars="0" w:firstLine="0" w:firstLineChars="0"/>
              <w:jc w:val="center"/>
              <w:rPr>
                <w:rFonts w:hint="eastAsia" w:ascii="宋体" w:hAnsi="宋体" w:cs="宋体"/>
              </w:rPr>
            </w:pPr>
            <w:r>
              <w:rPr>
                <w:rFonts w:hint="eastAsia" w:ascii="Times New Roman" w:hAnsi="Times New Roman"/>
                <w:kern w:val="0"/>
                <w:sz w:val="21"/>
                <w:szCs w:val="21"/>
                <w:lang w:val="en-US"/>
              </w:rPr>
              <w:t>下料、板材加工</w:t>
            </w:r>
          </w:p>
        </w:tc>
        <w:tc>
          <w:tcPr>
            <w:tcW w:w="819" w:type="pct"/>
            <w:vAlign w:val="center"/>
          </w:tcPr>
          <w:p w14:paraId="147B2990">
            <w:pPr>
              <w:pStyle w:val="12"/>
              <w:topLinePunct/>
              <w:ind w:left="0" w:leftChars="0" w:firstLine="0" w:firstLineChars="0"/>
              <w:jc w:val="center"/>
            </w:pPr>
            <w:r>
              <w:rPr>
                <w:rFonts w:hint="eastAsia" w:ascii="宋体" w:hAnsi="宋体"/>
                <w:sz w:val="21"/>
                <w:szCs w:val="21"/>
                <w:lang w:val="en-US"/>
              </w:rPr>
              <w:t>边角料</w:t>
            </w:r>
          </w:p>
        </w:tc>
        <w:tc>
          <w:tcPr>
            <w:tcW w:w="814" w:type="pct"/>
            <w:vAlign w:val="center"/>
          </w:tcPr>
          <w:p w14:paraId="53F63375">
            <w:pPr>
              <w:pStyle w:val="12"/>
              <w:topLinePunct/>
              <w:ind w:left="0" w:leftChars="0" w:firstLine="0" w:firstLineChars="0"/>
              <w:jc w:val="center"/>
            </w:pPr>
            <w:r>
              <w:rPr>
                <w:rFonts w:hint="eastAsia" w:ascii="宋体" w:hAnsi="宋体"/>
                <w:sz w:val="21"/>
                <w:szCs w:val="21"/>
                <w:lang w:val="en-US"/>
              </w:rPr>
              <w:t>边角料</w:t>
            </w:r>
          </w:p>
        </w:tc>
        <w:tc>
          <w:tcPr>
            <w:tcW w:w="224" w:type="pct"/>
            <w:vMerge w:val="restart"/>
            <w:vAlign w:val="center"/>
          </w:tcPr>
          <w:p w14:paraId="2720E78C">
            <w:pPr>
              <w:widowControl/>
              <w:jc w:val="center"/>
              <w:rPr>
                <w:kern w:val="0"/>
              </w:rPr>
            </w:pPr>
            <w:r>
              <w:rPr>
                <w:rFonts w:hint="eastAsia"/>
                <w:kern w:val="0"/>
              </w:rPr>
              <w:t>一般固废</w:t>
            </w:r>
          </w:p>
        </w:tc>
        <w:tc>
          <w:tcPr>
            <w:tcW w:w="520" w:type="pct"/>
            <w:vAlign w:val="center"/>
          </w:tcPr>
          <w:p w14:paraId="345FA9BF">
            <w:pPr>
              <w:widowControl/>
              <w:jc w:val="center"/>
              <w:rPr>
                <w:kern w:val="0"/>
              </w:rPr>
            </w:pPr>
            <w:r>
              <w:rPr>
                <w:rFonts w:hint="eastAsia"/>
              </w:rPr>
              <w:t>物料衡算</w:t>
            </w:r>
          </w:p>
        </w:tc>
        <w:tc>
          <w:tcPr>
            <w:tcW w:w="372" w:type="pct"/>
            <w:vAlign w:val="center"/>
          </w:tcPr>
          <w:p w14:paraId="54FFCD97">
            <w:pPr>
              <w:pStyle w:val="12"/>
              <w:topLinePunct/>
              <w:ind w:left="0" w:leftChars="0" w:firstLine="0" w:firstLineChars="0"/>
              <w:jc w:val="center"/>
              <w:rPr>
                <w:lang w:val="en-US"/>
              </w:rPr>
            </w:pPr>
            <w:r>
              <w:rPr>
                <w:rFonts w:hint="eastAsia" w:ascii="Times New Roman" w:hAnsi="Times New Roman"/>
                <w:kern w:val="0"/>
                <w:sz w:val="21"/>
                <w:szCs w:val="21"/>
                <w:lang w:val="en-US"/>
              </w:rPr>
              <w:t>12.5</w:t>
            </w:r>
          </w:p>
        </w:tc>
        <w:tc>
          <w:tcPr>
            <w:tcW w:w="371" w:type="pct"/>
            <w:vAlign w:val="center"/>
          </w:tcPr>
          <w:p w14:paraId="747F0573">
            <w:pPr>
              <w:jc w:val="center"/>
              <w:rPr>
                <w:rFonts w:hint="eastAsia" w:ascii="宋体" w:hAnsi="宋体" w:cs="宋体"/>
              </w:rPr>
            </w:pPr>
            <w:r>
              <w:rPr>
                <w:rFonts w:hint="eastAsia"/>
              </w:rPr>
              <w:t>资源化</w:t>
            </w:r>
          </w:p>
        </w:tc>
        <w:tc>
          <w:tcPr>
            <w:tcW w:w="448" w:type="pct"/>
            <w:vAlign w:val="center"/>
          </w:tcPr>
          <w:p w14:paraId="480106AF">
            <w:pPr>
              <w:pStyle w:val="12"/>
              <w:topLinePunct/>
              <w:ind w:left="0" w:leftChars="0" w:firstLine="0" w:firstLineChars="0"/>
              <w:jc w:val="center"/>
            </w:pPr>
            <w:r>
              <w:rPr>
                <w:rFonts w:hint="eastAsia" w:ascii="Times New Roman" w:hAnsi="Times New Roman"/>
                <w:kern w:val="0"/>
                <w:sz w:val="21"/>
                <w:szCs w:val="21"/>
                <w:lang w:val="en-US"/>
              </w:rPr>
              <w:t>12.5</w:t>
            </w:r>
          </w:p>
        </w:tc>
        <w:tc>
          <w:tcPr>
            <w:tcW w:w="615" w:type="pct"/>
            <w:vMerge w:val="restart"/>
            <w:vAlign w:val="center"/>
          </w:tcPr>
          <w:p w14:paraId="6A6A55CB">
            <w:pPr>
              <w:jc w:val="center"/>
              <w:rPr>
                <w:kern w:val="0"/>
              </w:rPr>
            </w:pPr>
            <w:r>
              <w:rPr>
                <w:kern w:val="0"/>
              </w:rPr>
              <w:t>委托有关单位综合利用或处置</w:t>
            </w:r>
          </w:p>
        </w:tc>
      </w:tr>
      <w:tr w14:paraId="67CE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2" w:type="pct"/>
            <w:vAlign w:val="center"/>
          </w:tcPr>
          <w:p w14:paraId="6073AD5C">
            <w:pPr>
              <w:jc w:val="center"/>
            </w:pPr>
            <w:r>
              <w:rPr>
                <w:rFonts w:hint="eastAsia"/>
              </w:rPr>
              <w:t>2</w:t>
            </w:r>
          </w:p>
        </w:tc>
        <w:tc>
          <w:tcPr>
            <w:tcW w:w="600" w:type="pct"/>
            <w:vAlign w:val="center"/>
          </w:tcPr>
          <w:p w14:paraId="50CE89D2">
            <w:pPr>
              <w:pStyle w:val="12"/>
              <w:topLinePunct/>
              <w:ind w:left="0" w:leftChars="0" w:firstLine="0" w:firstLineChars="0"/>
              <w:jc w:val="center"/>
              <w:rPr>
                <w:rFonts w:hint="eastAsia" w:ascii="宋体" w:hAnsi="宋体" w:cs="宋体"/>
              </w:rPr>
            </w:pPr>
            <w:r>
              <w:rPr>
                <w:rFonts w:hint="eastAsia" w:ascii="宋体" w:hAnsi="宋体"/>
                <w:sz w:val="21"/>
                <w:szCs w:val="21"/>
                <w:lang w:val="en-US"/>
              </w:rPr>
              <w:t>软包</w:t>
            </w:r>
          </w:p>
        </w:tc>
        <w:tc>
          <w:tcPr>
            <w:tcW w:w="819" w:type="pct"/>
            <w:vAlign w:val="center"/>
          </w:tcPr>
          <w:p w14:paraId="1E8A309B">
            <w:pPr>
              <w:pStyle w:val="12"/>
              <w:topLinePunct/>
              <w:ind w:left="0" w:leftChars="0" w:firstLine="0" w:firstLineChars="0"/>
              <w:jc w:val="center"/>
            </w:pPr>
            <w:r>
              <w:rPr>
                <w:rFonts w:hint="eastAsia" w:ascii="宋体" w:hAnsi="宋体"/>
                <w:sz w:val="21"/>
                <w:szCs w:val="21"/>
                <w:lang w:val="en-US"/>
              </w:rPr>
              <w:t>废布料</w:t>
            </w:r>
          </w:p>
        </w:tc>
        <w:tc>
          <w:tcPr>
            <w:tcW w:w="814" w:type="pct"/>
            <w:vAlign w:val="center"/>
          </w:tcPr>
          <w:p w14:paraId="367772B1">
            <w:pPr>
              <w:pStyle w:val="12"/>
              <w:topLinePunct/>
              <w:ind w:left="0" w:leftChars="0" w:firstLine="0" w:firstLineChars="0"/>
              <w:jc w:val="center"/>
            </w:pPr>
            <w:r>
              <w:rPr>
                <w:rFonts w:hint="eastAsia" w:ascii="宋体" w:hAnsi="宋体"/>
                <w:sz w:val="21"/>
                <w:szCs w:val="21"/>
                <w:lang w:val="en-US"/>
              </w:rPr>
              <w:t>废布料</w:t>
            </w:r>
          </w:p>
        </w:tc>
        <w:tc>
          <w:tcPr>
            <w:tcW w:w="224" w:type="pct"/>
            <w:vMerge w:val="continue"/>
            <w:vAlign w:val="center"/>
          </w:tcPr>
          <w:p w14:paraId="1F77B59D">
            <w:pPr>
              <w:widowControl/>
              <w:jc w:val="center"/>
              <w:rPr>
                <w:kern w:val="0"/>
              </w:rPr>
            </w:pPr>
          </w:p>
        </w:tc>
        <w:tc>
          <w:tcPr>
            <w:tcW w:w="520" w:type="pct"/>
            <w:vAlign w:val="center"/>
          </w:tcPr>
          <w:p w14:paraId="4E7EFC2F">
            <w:pPr>
              <w:jc w:val="center"/>
              <w:rPr>
                <w:rFonts w:hint="eastAsia" w:ascii="宋体" w:hAnsi="宋体" w:cs="宋体"/>
              </w:rPr>
            </w:pPr>
            <w:r>
              <w:rPr>
                <w:rFonts w:hint="eastAsia"/>
              </w:rPr>
              <w:t>物料衡算</w:t>
            </w:r>
          </w:p>
        </w:tc>
        <w:tc>
          <w:tcPr>
            <w:tcW w:w="372" w:type="pct"/>
            <w:vAlign w:val="center"/>
          </w:tcPr>
          <w:p w14:paraId="789D8118">
            <w:pPr>
              <w:pStyle w:val="12"/>
              <w:topLinePunct/>
              <w:ind w:left="0" w:leftChars="0" w:firstLine="0" w:firstLineChars="0"/>
              <w:jc w:val="center"/>
            </w:pPr>
            <w:r>
              <w:rPr>
                <w:rFonts w:hint="eastAsia" w:ascii="Times New Roman" w:hAnsi="Times New Roman"/>
                <w:kern w:val="0"/>
                <w:sz w:val="21"/>
                <w:szCs w:val="21"/>
                <w:lang w:val="en-US"/>
              </w:rPr>
              <w:t>1.5</w:t>
            </w:r>
          </w:p>
        </w:tc>
        <w:tc>
          <w:tcPr>
            <w:tcW w:w="371" w:type="pct"/>
            <w:vAlign w:val="center"/>
          </w:tcPr>
          <w:p w14:paraId="4D6E76BF">
            <w:pPr>
              <w:jc w:val="center"/>
              <w:rPr>
                <w:rFonts w:hint="eastAsia" w:ascii="宋体" w:hAnsi="宋体" w:cs="宋体"/>
              </w:rPr>
            </w:pPr>
            <w:r>
              <w:rPr>
                <w:rFonts w:hint="eastAsia"/>
              </w:rPr>
              <w:t>资源化</w:t>
            </w:r>
          </w:p>
        </w:tc>
        <w:tc>
          <w:tcPr>
            <w:tcW w:w="448" w:type="pct"/>
            <w:vAlign w:val="center"/>
          </w:tcPr>
          <w:p w14:paraId="21CE4F23">
            <w:pPr>
              <w:pStyle w:val="12"/>
              <w:topLinePunct/>
              <w:ind w:left="0" w:leftChars="0" w:firstLine="0" w:firstLineChars="0"/>
              <w:jc w:val="center"/>
            </w:pPr>
            <w:r>
              <w:rPr>
                <w:rFonts w:hint="eastAsia" w:ascii="Times New Roman" w:hAnsi="Times New Roman"/>
                <w:kern w:val="0"/>
                <w:sz w:val="21"/>
                <w:szCs w:val="21"/>
                <w:lang w:val="en-US"/>
              </w:rPr>
              <w:t>1.5</w:t>
            </w:r>
          </w:p>
        </w:tc>
        <w:tc>
          <w:tcPr>
            <w:tcW w:w="615" w:type="pct"/>
            <w:vMerge w:val="continue"/>
            <w:vAlign w:val="center"/>
          </w:tcPr>
          <w:p w14:paraId="02BEABB7">
            <w:pPr>
              <w:jc w:val="center"/>
              <w:rPr>
                <w:kern w:val="0"/>
              </w:rPr>
            </w:pPr>
          </w:p>
        </w:tc>
      </w:tr>
      <w:tr w14:paraId="1B5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2" w:type="pct"/>
            <w:vAlign w:val="center"/>
          </w:tcPr>
          <w:p w14:paraId="6BF669D6">
            <w:pPr>
              <w:jc w:val="center"/>
            </w:pPr>
            <w:r>
              <w:rPr>
                <w:rFonts w:hint="eastAsia"/>
              </w:rPr>
              <w:t>3</w:t>
            </w:r>
          </w:p>
        </w:tc>
        <w:tc>
          <w:tcPr>
            <w:tcW w:w="600" w:type="pct"/>
            <w:vAlign w:val="center"/>
          </w:tcPr>
          <w:p w14:paraId="67471633">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软包</w:t>
            </w:r>
          </w:p>
        </w:tc>
        <w:tc>
          <w:tcPr>
            <w:tcW w:w="819" w:type="pct"/>
            <w:vAlign w:val="center"/>
          </w:tcPr>
          <w:p w14:paraId="2D2B8C41">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废皮革</w:t>
            </w:r>
          </w:p>
        </w:tc>
        <w:tc>
          <w:tcPr>
            <w:tcW w:w="814" w:type="pct"/>
            <w:vAlign w:val="center"/>
          </w:tcPr>
          <w:p w14:paraId="7AB05866">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rPr>
              <w:t>废皮革</w:t>
            </w:r>
          </w:p>
        </w:tc>
        <w:tc>
          <w:tcPr>
            <w:tcW w:w="224" w:type="pct"/>
            <w:vMerge w:val="continue"/>
            <w:vAlign w:val="center"/>
          </w:tcPr>
          <w:p w14:paraId="5A3C497F">
            <w:pPr>
              <w:widowControl/>
              <w:jc w:val="center"/>
              <w:rPr>
                <w:kern w:val="0"/>
              </w:rPr>
            </w:pPr>
          </w:p>
        </w:tc>
        <w:tc>
          <w:tcPr>
            <w:tcW w:w="520" w:type="pct"/>
            <w:vAlign w:val="center"/>
          </w:tcPr>
          <w:p w14:paraId="55DC847F">
            <w:pPr>
              <w:jc w:val="center"/>
            </w:pPr>
            <w:r>
              <w:rPr>
                <w:rFonts w:hint="eastAsia"/>
              </w:rPr>
              <w:t>物料衡算</w:t>
            </w:r>
          </w:p>
        </w:tc>
        <w:tc>
          <w:tcPr>
            <w:tcW w:w="372" w:type="pct"/>
            <w:vAlign w:val="center"/>
          </w:tcPr>
          <w:p w14:paraId="07D3E38B">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0.6</w:t>
            </w:r>
          </w:p>
        </w:tc>
        <w:tc>
          <w:tcPr>
            <w:tcW w:w="371" w:type="pct"/>
            <w:vAlign w:val="center"/>
          </w:tcPr>
          <w:p w14:paraId="66CCF215">
            <w:pPr>
              <w:jc w:val="center"/>
            </w:pPr>
            <w:r>
              <w:rPr>
                <w:rFonts w:hint="eastAsia"/>
              </w:rPr>
              <w:t>资源化</w:t>
            </w:r>
          </w:p>
        </w:tc>
        <w:tc>
          <w:tcPr>
            <w:tcW w:w="448" w:type="pct"/>
            <w:vAlign w:val="center"/>
          </w:tcPr>
          <w:p w14:paraId="5F6FFE5F">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0.6</w:t>
            </w:r>
          </w:p>
        </w:tc>
        <w:tc>
          <w:tcPr>
            <w:tcW w:w="615" w:type="pct"/>
            <w:vMerge w:val="continue"/>
            <w:vAlign w:val="center"/>
          </w:tcPr>
          <w:p w14:paraId="667E6E2F">
            <w:pPr>
              <w:jc w:val="center"/>
              <w:rPr>
                <w:kern w:val="0"/>
              </w:rPr>
            </w:pPr>
          </w:p>
        </w:tc>
      </w:tr>
      <w:tr w14:paraId="401D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2" w:type="pct"/>
            <w:shd w:val="clear" w:color="auto" w:fill="auto"/>
            <w:vAlign w:val="center"/>
          </w:tcPr>
          <w:p w14:paraId="47D5F384">
            <w:pPr>
              <w:adjustRightInd w:val="0"/>
              <w:snapToGrid w:val="0"/>
              <w:spacing w:line="320" w:lineRule="exact"/>
              <w:jc w:val="center"/>
            </w:pPr>
            <w:r>
              <w:t>4</w:t>
            </w:r>
          </w:p>
        </w:tc>
        <w:tc>
          <w:tcPr>
            <w:tcW w:w="600" w:type="pct"/>
            <w:vAlign w:val="center"/>
          </w:tcPr>
          <w:p w14:paraId="75EBE99D">
            <w:pPr>
              <w:pStyle w:val="12"/>
              <w:topLinePunct/>
              <w:ind w:left="0" w:leftChars="0" w:firstLine="0" w:firstLineChars="0"/>
              <w:jc w:val="center"/>
              <w:rPr>
                <w:rFonts w:hint="eastAsia" w:ascii="宋体" w:hAnsi="宋体" w:cs="宋体"/>
              </w:rPr>
            </w:pPr>
            <w:r>
              <w:rPr>
                <w:rFonts w:hint="eastAsia" w:ascii="宋体" w:hAnsi="宋体"/>
                <w:sz w:val="21"/>
                <w:szCs w:val="21"/>
                <w:lang w:val="en-US"/>
              </w:rPr>
              <w:t>废气处理</w:t>
            </w:r>
          </w:p>
        </w:tc>
        <w:tc>
          <w:tcPr>
            <w:tcW w:w="819" w:type="pct"/>
            <w:vAlign w:val="center"/>
          </w:tcPr>
          <w:p w14:paraId="766E23FE">
            <w:pPr>
              <w:pStyle w:val="12"/>
              <w:topLinePunct/>
              <w:ind w:left="0" w:leftChars="0" w:firstLine="0" w:firstLineChars="0"/>
              <w:jc w:val="center"/>
            </w:pPr>
            <w:r>
              <w:rPr>
                <w:rFonts w:hint="eastAsia" w:ascii="宋体" w:hAnsi="宋体"/>
                <w:sz w:val="21"/>
                <w:szCs w:val="21"/>
                <w:lang w:val="en-US"/>
              </w:rPr>
              <w:t>漆渣</w:t>
            </w:r>
          </w:p>
        </w:tc>
        <w:tc>
          <w:tcPr>
            <w:tcW w:w="814" w:type="pct"/>
            <w:vAlign w:val="center"/>
          </w:tcPr>
          <w:p w14:paraId="7A67C021">
            <w:pPr>
              <w:pStyle w:val="12"/>
              <w:topLinePunct/>
              <w:ind w:left="0" w:leftChars="0" w:firstLine="0" w:firstLineChars="0"/>
              <w:jc w:val="center"/>
            </w:pPr>
            <w:r>
              <w:rPr>
                <w:rFonts w:hint="eastAsia" w:ascii="宋体" w:hAnsi="宋体"/>
                <w:sz w:val="21"/>
                <w:szCs w:val="21"/>
                <w:lang w:val="en-US"/>
              </w:rPr>
              <w:t>漆渣</w:t>
            </w:r>
          </w:p>
        </w:tc>
        <w:tc>
          <w:tcPr>
            <w:tcW w:w="224" w:type="pct"/>
            <w:vMerge w:val="continue"/>
            <w:vAlign w:val="center"/>
          </w:tcPr>
          <w:p w14:paraId="7942B1BD">
            <w:pPr>
              <w:widowControl/>
              <w:jc w:val="center"/>
              <w:rPr>
                <w:kern w:val="0"/>
              </w:rPr>
            </w:pPr>
          </w:p>
        </w:tc>
        <w:tc>
          <w:tcPr>
            <w:tcW w:w="520" w:type="pct"/>
            <w:vAlign w:val="center"/>
          </w:tcPr>
          <w:p w14:paraId="0EA99454">
            <w:pPr>
              <w:jc w:val="center"/>
              <w:rPr>
                <w:rFonts w:hint="eastAsia" w:ascii="宋体" w:hAnsi="宋体" w:cs="宋体"/>
              </w:rPr>
            </w:pPr>
            <w:r>
              <w:rPr>
                <w:rFonts w:hint="eastAsia"/>
              </w:rPr>
              <w:t>物料衡算</w:t>
            </w:r>
          </w:p>
        </w:tc>
        <w:tc>
          <w:tcPr>
            <w:tcW w:w="372" w:type="pct"/>
            <w:vAlign w:val="center"/>
          </w:tcPr>
          <w:p w14:paraId="1AAC06F3">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0.1</w:t>
            </w:r>
          </w:p>
        </w:tc>
        <w:tc>
          <w:tcPr>
            <w:tcW w:w="371" w:type="pct"/>
            <w:vAlign w:val="center"/>
          </w:tcPr>
          <w:p w14:paraId="5493671A">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无害化</w:t>
            </w:r>
          </w:p>
        </w:tc>
        <w:tc>
          <w:tcPr>
            <w:tcW w:w="448" w:type="pct"/>
            <w:vAlign w:val="center"/>
          </w:tcPr>
          <w:p w14:paraId="35E72D95">
            <w:pPr>
              <w:pStyle w:val="12"/>
              <w:topLinePunct/>
              <w:ind w:left="0" w:leftChars="0" w:firstLine="0" w:firstLineChars="0"/>
              <w:jc w:val="center"/>
            </w:pPr>
            <w:r>
              <w:rPr>
                <w:rFonts w:hint="eastAsia" w:ascii="Times New Roman" w:hAnsi="Times New Roman"/>
                <w:kern w:val="0"/>
                <w:sz w:val="21"/>
                <w:szCs w:val="21"/>
                <w:lang w:val="en-US"/>
              </w:rPr>
              <w:t>0.1</w:t>
            </w:r>
          </w:p>
        </w:tc>
        <w:tc>
          <w:tcPr>
            <w:tcW w:w="615" w:type="pct"/>
            <w:vMerge w:val="continue"/>
            <w:vAlign w:val="center"/>
          </w:tcPr>
          <w:p w14:paraId="00CC7E81">
            <w:pPr>
              <w:widowControl/>
              <w:jc w:val="center"/>
              <w:rPr>
                <w:kern w:val="0"/>
              </w:rPr>
            </w:pPr>
          </w:p>
        </w:tc>
      </w:tr>
      <w:tr w14:paraId="00B6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2" w:type="pct"/>
            <w:shd w:val="clear" w:color="auto" w:fill="auto"/>
            <w:vAlign w:val="center"/>
          </w:tcPr>
          <w:p w14:paraId="5402DFF3">
            <w:pPr>
              <w:adjustRightInd w:val="0"/>
              <w:snapToGrid w:val="0"/>
              <w:spacing w:line="320" w:lineRule="exact"/>
              <w:jc w:val="center"/>
            </w:pPr>
            <w:r>
              <w:rPr>
                <w:rFonts w:hint="eastAsia"/>
              </w:rPr>
              <w:t>5</w:t>
            </w:r>
          </w:p>
        </w:tc>
        <w:tc>
          <w:tcPr>
            <w:tcW w:w="600" w:type="pct"/>
            <w:vAlign w:val="center"/>
          </w:tcPr>
          <w:p w14:paraId="0D564300">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原料包装</w:t>
            </w:r>
          </w:p>
        </w:tc>
        <w:tc>
          <w:tcPr>
            <w:tcW w:w="819" w:type="pct"/>
            <w:vAlign w:val="center"/>
          </w:tcPr>
          <w:p w14:paraId="415502AF">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废油漆桶</w:t>
            </w:r>
          </w:p>
        </w:tc>
        <w:tc>
          <w:tcPr>
            <w:tcW w:w="814" w:type="pct"/>
            <w:vAlign w:val="center"/>
          </w:tcPr>
          <w:p w14:paraId="7554C970">
            <w:pPr>
              <w:pStyle w:val="12"/>
              <w:topLinePunct/>
              <w:ind w:left="0" w:leftChars="0" w:firstLine="0" w:firstLineChars="0"/>
              <w:jc w:val="center"/>
              <w:rPr>
                <w:rFonts w:ascii="Times New Roman" w:hAnsi="Times New Roman"/>
                <w:kern w:val="0"/>
                <w:sz w:val="21"/>
                <w:szCs w:val="21"/>
                <w:lang w:val="en-US"/>
              </w:rPr>
            </w:pPr>
            <w:r>
              <w:rPr>
                <w:rFonts w:hint="eastAsia" w:ascii="宋体" w:hAnsi="宋体"/>
                <w:sz w:val="21"/>
                <w:szCs w:val="21"/>
                <w:lang w:val="en-US"/>
              </w:rPr>
              <w:t>油漆</w:t>
            </w:r>
          </w:p>
        </w:tc>
        <w:tc>
          <w:tcPr>
            <w:tcW w:w="224" w:type="pct"/>
            <w:vAlign w:val="center"/>
          </w:tcPr>
          <w:p w14:paraId="50C0D409">
            <w:pPr>
              <w:widowControl/>
              <w:jc w:val="center"/>
              <w:rPr>
                <w:kern w:val="0"/>
              </w:rPr>
            </w:pPr>
            <w:r>
              <w:rPr>
                <w:rFonts w:hint="eastAsia"/>
                <w:kern w:val="0"/>
              </w:rPr>
              <w:t>危险废物</w:t>
            </w:r>
          </w:p>
        </w:tc>
        <w:tc>
          <w:tcPr>
            <w:tcW w:w="520" w:type="pct"/>
            <w:vAlign w:val="center"/>
          </w:tcPr>
          <w:p w14:paraId="10932AF9">
            <w:pPr>
              <w:jc w:val="center"/>
            </w:pPr>
            <w:r>
              <w:rPr>
                <w:rFonts w:hint="eastAsia"/>
              </w:rPr>
              <w:t>物料衡算</w:t>
            </w:r>
          </w:p>
        </w:tc>
        <w:tc>
          <w:tcPr>
            <w:tcW w:w="372" w:type="pct"/>
            <w:vAlign w:val="center"/>
          </w:tcPr>
          <w:p w14:paraId="78E453CB">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0.0625</w:t>
            </w:r>
          </w:p>
        </w:tc>
        <w:tc>
          <w:tcPr>
            <w:tcW w:w="371" w:type="pct"/>
            <w:vAlign w:val="center"/>
          </w:tcPr>
          <w:p w14:paraId="6A6F7B92">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无害化</w:t>
            </w:r>
          </w:p>
        </w:tc>
        <w:tc>
          <w:tcPr>
            <w:tcW w:w="448" w:type="pct"/>
            <w:vAlign w:val="center"/>
          </w:tcPr>
          <w:p w14:paraId="51E46E5F">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0.0625</w:t>
            </w:r>
          </w:p>
        </w:tc>
        <w:tc>
          <w:tcPr>
            <w:tcW w:w="615" w:type="pct"/>
            <w:vAlign w:val="center"/>
          </w:tcPr>
          <w:p w14:paraId="436B26A7">
            <w:pPr>
              <w:widowControl/>
              <w:jc w:val="center"/>
              <w:rPr>
                <w:kern w:val="0"/>
              </w:rPr>
            </w:pPr>
            <w:r>
              <w:rPr>
                <w:kern w:val="0"/>
              </w:rPr>
              <w:t>委托有</w:t>
            </w:r>
            <w:r>
              <w:rPr>
                <w:rFonts w:hint="eastAsia"/>
                <w:kern w:val="0"/>
              </w:rPr>
              <w:t>资质</w:t>
            </w:r>
            <w:r>
              <w:rPr>
                <w:kern w:val="0"/>
              </w:rPr>
              <w:t>单位</w:t>
            </w:r>
            <w:r>
              <w:rPr>
                <w:rFonts w:hint="eastAsia"/>
                <w:kern w:val="0"/>
              </w:rPr>
              <w:t>无害化</w:t>
            </w:r>
            <w:r>
              <w:rPr>
                <w:kern w:val="0"/>
              </w:rPr>
              <w:t>处置</w:t>
            </w:r>
          </w:p>
        </w:tc>
      </w:tr>
      <w:tr w14:paraId="4156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2" w:type="pct"/>
            <w:shd w:val="clear" w:color="auto" w:fill="auto"/>
            <w:vAlign w:val="center"/>
          </w:tcPr>
          <w:p w14:paraId="78B0E128">
            <w:pPr>
              <w:adjustRightInd w:val="0"/>
              <w:snapToGrid w:val="0"/>
              <w:spacing w:line="320" w:lineRule="exact"/>
              <w:jc w:val="center"/>
            </w:pPr>
            <w:r>
              <w:rPr>
                <w:rFonts w:hint="eastAsia"/>
              </w:rPr>
              <w:t>6</w:t>
            </w:r>
          </w:p>
        </w:tc>
        <w:tc>
          <w:tcPr>
            <w:tcW w:w="600" w:type="pct"/>
            <w:vAlign w:val="center"/>
          </w:tcPr>
          <w:p w14:paraId="34BAC088">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819" w:type="pct"/>
            <w:vAlign w:val="center"/>
          </w:tcPr>
          <w:p w14:paraId="7B78F04D">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废木屑</w:t>
            </w:r>
          </w:p>
        </w:tc>
        <w:tc>
          <w:tcPr>
            <w:tcW w:w="814" w:type="pct"/>
            <w:vAlign w:val="center"/>
          </w:tcPr>
          <w:p w14:paraId="69A7C470">
            <w:pPr>
              <w:pStyle w:val="12"/>
              <w:topLinePunct/>
              <w:ind w:left="0" w:leftChars="0" w:firstLine="0" w:firstLineChars="0"/>
              <w:jc w:val="center"/>
              <w:rPr>
                <w:rFonts w:ascii="Times New Roman" w:hAnsi="Times New Roman"/>
                <w:kern w:val="0"/>
                <w:sz w:val="21"/>
                <w:szCs w:val="21"/>
                <w:lang w:val="en-US"/>
              </w:rPr>
            </w:pPr>
            <w:r>
              <w:rPr>
                <w:rFonts w:hint="eastAsia" w:ascii="宋体" w:hAnsi="宋体"/>
                <w:sz w:val="21"/>
                <w:szCs w:val="21"/>
                <w:lang w:val="en-US"/>
              </w:rPr>
              <w:t>木屑</w:t>
            </w:r>
          </w:p>
        </w:tc>
        <w:tc>
          <w:tcPr>
            <w:tcW w:w="224" w:type="pct"/>
            <w:vAlign w:val="center"/>
          </w:tcPr>
          <w:p w14:paraId="6427F04D">
            <w:pPr>
              <w:widowControl/>
              <w:jc w:val="center"/>
              <w:rPr>
                <w:kern w:val="0"/>
              </w:rPr>
            </w:pPr>
            <w:r>
              <w:rPr>
                <w:rFonts w:hint="eastAsia"/>
                <w:kern w:val="0"/>
              </w:rPr>
              <w:t>一般固废</w:t>
            </w:r>
          </w:p>
        </w:tc>
        <w:tc>
          <w:tcPr>
            <w:tcW w:w="520" w:type="pct"/>
            <w:vAlign w:val="center"/>
          </w:tcPr>
          <w:p w14:paraId="6B3A9E39">
            <w:pPr>
              <w:jc w:val="center"/>
            </w:pPr>
            <w:r>
              <w:rPr>
                <w:rFonts w:hint="eastAsia"/>
              </w:rPr>
              <w:t>物料衡算</w:t>
            </w:r>
          </w:p>
        </w:tc>
        <w:tc>
          <w:tcPr>
            <w:tcW w:w="372" w:type="pct"/>
            <w:vAlign w:val="center"/>
          </w:tcPr>
          <w:p w14:paraId="42D4F242">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0.297</w:t>
            </w:r>
          </w:p>
        </w:tc>
        <w:tc>
          <w:tcPr>
            <w:tcW w:w="371" w:type="pct"/>
            <w:vAlign w:val="center"/>
          </w:tcPr>
          <w:p w14:paraId="7E5EAA0F">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资源化</w:t>
            </w:r>
          </w:p>
        </w:tc>
        <w:tc>
          <w:tcPr>
            <w:tcW w:w="448" w:type="pct"/>
            <w:vAlign w:val="center"/>
          </w:tcPr>
          <w:p w14:paraId="10AF0AB9">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0.297</w:t>
            </w:r>
          </w:p>
        </w:tc>
        <w:tc>
          <w:tcPr>
            <w:tcW w:w="615" w:type="pct"/>
            <w:vAlign w:val="center"/>
          </w:tcPr>
          <w:p w14:paraId="263B05B1">
            <w:pPr>
              <w:widowControl/>
              <w:jc w:val="center"/>
              <w:rPr>
                <w:kern w:val="0"/>
              </w:rPr>
            </w:pPr>
            <w:r>
              <w:rPr>
                <w:kern w:val="0"/>
              </w:rPr>
              <w:t>委托有关单位综合利用或处置</w:t>
            </w:r>
          </w:p>
        </w:tc>
      </w:tr>
      <w:tr w14:paraId="7147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2" w:type="pct"/>
            <w:shd w:val="clear" w:color="auto" w:fill="auto"/>
            <w:vAlign w:val="center"/>
          </w:tcPr>
          <w:p w14:paraId="2299A466">
            <w:pPr>
              <w:adjustRightInd w:val="0"/>
              <w:snapToGrid w:val="0"/>
              <w:spacing w:line="320" w:lineRule="exact"/>
              <w:jc w:val="center"/>
            </w:pPr>
            <w:r>
              <w:rPr>
                <w:rFonts w:hint="eastAsia"/>
              </w:rPr>
              <w:t>7</w:t>
            </w:r>
          </w:p>
        </w:tc>
        <w:tc>
          <w:tcPr>
            <w:tcW w:w="600" w:type="pct"/>
            <w:vAlign w:val="center"/>
          </w:tcPr>
          <w:p w14:paraId="7B44A4AF">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废气处理</w:t>
            </w:r>
          </w:p>
        </w:tc>
        <w:tc>
          <w:tcPr>
            <w:tcW w:w="819" w:type="pct"/>
            <w:vAlign w:val="center"/>
          </w:tcPr>
          <w:p w14:paraId="136EC04B">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废活性炭</w:t>
            </w:r>
          </w:p>
        </w:tc>
        <w:tc>
          <w:tcPr>
            <w:tcW w:w="814" w:type="pct"/>
            <w:vAlign w:val="center"/>
          </w:tcPr>
          <w:p w14:paraId="1AD3B452">
            <w:pPr>
              <w:pStyle w:val="12"/>
              <w:topLinePunct/>
              <w:ind w:left="0" w:leftChars="0" w:firstLine="0" w:firstLineChars="0"/>
              <w:jc w:val="center"/>
              <w:rPr>
                <w:rFonts w:ascii="Times New Roman" w:hAnsi="Times New Roman"/>
                <w:kern w:val="0"/>
                <w:sz w:val="21"/>
                <w:szCs w:val="21"/>
                <w:lang w:val="en-US"/>
              </w:rPr>
            </w:pPr>
            <w:r>
              <w:rPr>
                <w:rFonts w:hint="eastAsia" w:ascii="宋体" w:hAnsi="宋体"/>
                <w:sz w:val="21"/>
                <w:szCs w:val="21"/>
                <w:lang w:val="en-US"/>
              </w:rPr>
              <w:t>活性炭</w:t>
            </w:r>
          </w:p>
        </w:tc>
        <w:tc>
          <w:tcPr>
            <w:tcW w:w="224" w:type="pct"/>
            <w:vAlign w:val="center"/>
          </w:tcPr>
          <w:p w14:paraId="46B974AC">
            <w:pPr>
              <w:widowControl/>
              <w:jc w:val="center"/>
              <w:rPr>
                <w:kern w:val="0"/>
              </w:rPr>
            </w:pPr>
            <w:r>
              <w:rPr>
                <w:rFonts w:hint="eastAsia"/>
                <w:kern w:val="0"/>
              </w:rPr>
              <w:t>危险废物</w:t>
            </w:r>
          </w:p>
        </w:tc>
        <w:tc>
          <w:tcPr>
            <w:tcW w:w="520" w:type="pct"/>
            <w:vAlign w:val="center"/>
          </w:tcPr>
          <w:p w14:paraId="53BDBDE1">
            <w:pPr>
              <w:jc w:val="center"/>
            </w:pPr>
            <w:r>
              <w:rPr>
                <w:rFonts w:hint="eastAsia"/>
              </w:rPr>
              <w:t>物料衡算</w:t>
            </w:r>
          </w:p>
        </w:tc>
        <w:tc>
          <w:tcPr>
            <w:tcW w:w="372" w:type="pct"/>
            <w:vAlign w:val="center"/>
          </w:tcPr>
          <w:p w14:paraId="312A40F3">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4.04</w:t>
            </w:r>
          </w:p>
        </w:tc>
        <w:tc>
          <w:tcPr>
            <w:tcW w:w="371" w:type="pct"/>
            <w:vAlign w:val="center"/>
          </w:tcPr>
          <w:p w14:paraId="3D0A6672">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无害化</w:t>
            </w:r>
          </w:p>
        </w:tc>
        <w:tc>
          <w:tcPr>
            <w:tcW w:w="448" w:type="pct"/>
            <w:vAlign w:val="center"/>
          </w:tcPr>
          <w:p w14:paraId="5308F7C8">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4.04</w:t>
            </w:r>
          </w:p>
        </w:tc>
        <w:tc>
          <w:tcPr>
            <w:tcW w:w="615" w:type="pct"/>
            <w:vAlign w:val="center"/>
          </w:tcPr>
          <w:p w14:paraId="1A16A1BB">
            <w:pPr>
              <w:widowControl/>
              <w:jc w:val="center"/>
              <w:rPr>
                <w:kern w:val="0"/>
              </w:rPr>
            </w:pPr>
            <w:r>
              <w:rPr>
                <w:rFonts w:hint="eastAsia"/>
                <w:kern w:val="0"/>
              </w:rPr>
              <w:t>绿岛单位集中回收处置</w:t>
            </w:r>
          </w:p>
        </w:tc>
      </w:tr>
      <w:tr w14:paraId="73FA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2" w:type="pct"/>
            <w:shd w:val="clear" w:color="auto" w:fill="auto"/>
            <w:vAlign w:val="center"/>
          </w:tcPr>
          <w:p w14:paraId="53051711">
            <w:pPr>
              <w:adjustRightInd w:val="0"/>
              <w:snapToGrid w:val="0"/>
              <w:spacing w:line="320" w:lineRule="exact"/>
              <w:jc w:val="center"/>
            </w:pPr>
            <w:r>
              <w:rPr>
                <w:rFonts w:hint="eastAsia"/>
              </w:rPr>
              <w:t>8</w:t>
            </w:r>
          </w:p>
        </w:tc>
        <w:tc>
          <w:tcPr>
            <w:tcW w:w="600" w:type="pct"/>
            <w:vAlign w:val="center"/>
          </w:tcPr>
          <w:p w14:paraId="0552CDE8">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员工生活</w:t>
            </w:r>
          </w:p>
        </w:tc>
        <w:tc>
          <w:tcPr>
            <w:tcW w:w="819" w:type="pct"/>
            <w:vAlign w:val="center"/>
          </w:tcPr>
          <w:p w14:paraId="54B1F1E1">
            <w:pPr>
              <w:pStyle w:val="12"/>
              <w:topLinePunct/>
              <w:ind w:left="0" w:leftChars="0" w:firstLine="0" w:firstLineChars="0"/>
              <w:jc w:val="center"/>
              <w:rPr>
                <w:rFonts w:hint="eastAsia" w:ascii="宋体" w:hAnsi="宋体"/>
                <w:sz w:val="21"/>
                <w:szCs w:val="21"/>
                <w:lang w:val="en-US"/>
              </w:rPr>
            </w:pPr>
            <w:r>
              <w:rPr>
                <w:rFonts w:hint="eastAsia" w:ascii="宋体" w:hAnsi="宋体"/>
                <w:sz w:val="21"/>
                <w:szCs w:val="21"/>
                <w:lang w:val="en-US"/>
              </w:rPr>
              <w:t>生活垃圾</w:t>
            </w:r>
          </w:p>
        </w:tc>
        <w:tc>
          <w:tcPr>
            <w:tcW w:w="814" w:type="pct"/>
            <w:vAlign w:val="center"/>
          </w:tcPr>
          <w:p w14:paraId="49993235">
            <w:pPr>
              <w:pStyle w:val="12"/>
              <w:topLinePunct/>
              <w:ind w:left="0" w:leftChars="0" w:firstLine="0" w:firstLineChars="0"/>
              <w:jc w:val="center"/>
              <w:rPr>
                <w:rFonts w:ascii="Times New Roman" w:hAnsi="Times New Roman"/>
                <w:kern w:val="0"/>
                <w:sz w:val="21"/>
                <w:szCs w:val="21"/>
                <w:lang w:val="en-US"/>
              </w:rPr>
            </w:pPr>
            <w:r>
              <w:rPr>
                <w:rFonts w:hint="eastAsia" w:ascii="宋体" w:hAnsi="宋体"/>
                <w:sz w:val="21"/>
                <w:szCs w:val="21"/>
                <w:lang w:val="en-US"/>
              </w:rPr>
              <w:t>生活垃圾</w:t>
            </w:r>
          </w:p>
        </w:tc>
        <w:tc>
          <w:tcPr>
            <w:tcW w:w="224" w:type="pct"/>
            <w:shd w:val="clear" w:color="auto" w:fill="auto"/>
            <w:vAlign w:val="center"/>
          </w:tcPr>
          <w:p w14:paraId="1528038F">
            <w:pPr>
              <w:widowControl/>
              <w:jc w:val="center"/>
              <w:rPr>
                <w:kern w:val="0"/>
              </w:rPr>
            </w:pPr>
            <w:r>
              <w:rPr>
                <w:rFonts w:hint="eastAsia"/>
                <w:kern w:val="0"/>
              </w:rPr>
              <w:t>一般固废</w:t>
            </w:r>
          </w:p>
        </w:tc>
        <w:tc>
          <w:tcPr>
            <w:tcW w:w="520" w:type="pct"/>
            <w:shd w:val="clear" w:color="auto" w:fill="auto"/>
            <w:vAlign w:val="center"/>
          </w:tcPr>
          <w:p w14:paraId="3B1D326E">
            <w:pPr>
              <w:jc w:val="center"/>
            </w:pPr>
            <w:r>
              <w:rPr>
                <w:rFonts w:hint="eastAsia"/>
              </w:rPr>
              <w:t>物料衡算</w:t>
            </w:r>
          </w:p>
        </w:tc>
        <w:tc>
          <w:tcPr>
            <w:tcW w:w="372" w:type="pct"/>
            <w:vAlign w:val="center"/>
          </w:tcPr>
          <w:p w14:paraId="6A24899D">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3.75</w:t>
            </w:r>
          </w:p>
        </w:tc>
        <w:tc>
          <w:tcPr>
            <w:tcW w:w="371" w:type="pct"/>
            <w:vAlign w:val="center"/>
          </w:tcPr>
          <w:p w14:paraId="16C03C35">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资源化</w:t>
            </w:r>
          </w:p>
        </w:tc>
        <w:tc>
          <w:tcPr>
            <w:tcW w:w="448" w:type="pct"/>
            <w:vAlign w:val="center"/>
          </w:tcPr>
          <w:p w14:paraId="67D26D81">
            <w:pPr>
              <w:pStyle w:val="12"/>
              <w:topLinePunct/>
              <w:ind w:left="0" w:leftChars="0" w:firstLine="0" w:firstLineChars="0"/>
              <w:jc w:val="center"/>
              <w:rPr>
                <w:rFonts w:ascii="Times New Roman" w:hAnsi="Times New Roman"/>
                <w:kern w:val="0"/>
                <w:sz w:val="21"/>
                <w:szCs w:val="21"/>
                <w:lang w:val="en-US"/>
              </w:rPr>
            </w:pPr>
            <w:r>
              <w:rPr>
                <w:rFonts w:hint="eastAsia" w:ascii="Times New Roman" w:hAnsi="Times New Roman"/>
                <w:kern w:val="0"/>
                <w:sz w:val="21"/>
                <w:szCs w:val="21"/>
                <w:lang w:val="en-US"/>
              </w:rPr>
              <w:t>3.75</w:t>
            </w:r>
          </w:p>
        </w:tc>
        <w:tc>
          <w:tcPr>
            <w:tcW w:w="615" w:type="pct"/>
            <w:vAlign w:val="center"/>
          </w:tcPr>
          <w:p w14:paraId="0EBFED2B">
            <w:pPr>
              <w:widowControl/>
              <w:jc w:val="center"/>
              <w:rPr>
                <w:kern w:val="0"/>
              </w:rPr>
            </w:pPr>
            <w:r>
              <w:rPr>
                <w:rFonts w:hint="eastAsia"/>
                <w:kern w:val="0"/>
              </w:rPr>
              <w:t>环卫部门统一清运</w:t>
            </w:r>
          </w:p>
        </w:tc>
      </w:tr>
    </w:tbl>
    <w:p w14:paraId="65AB0E88">
      <w:pPr>
        <w:pStyle w:val="122"/>
        <w:ind w:firstLine="0" w:firstLineChars="0"/>
        <w:rPr>
          <w:b/>
          <w:color w:val="000000"/>
        </w:rPr>
        <w:sectPr>
          <w:pgSz w:w="11906" w:h="16838"/>
          <w:pgMar w:top="1418" w:right="1230" w:bottom="1418" w:left="1134" w:header="851" w:footer="992" w:gutter="0"/>
          <w:pgNumType w:fmt="decimal"/>
          <w:cols w:space="425" w:num="1"/>
          <w:docGrid w:type="linesAndChars" w:linePitch="312" w:charSpace="0"/>
        </w:sectPr>
      </w:pPr>
    </w:p>
    <w:p w14:paraId="6E596792">
      <w:pPr>
        <w:pStyle w:val="122"/>
        <w:ind w:firstLine="0" w:firstLineChars="0"/>
        <w:outlineLvl w:val="1"/>
        <w:rPr>
          <w:b/>
        </w:rPr>
      </w:pPr>
      <w:bookmarkStart w:id="35" w:name="_Toc537"/>
      <w:r>
        <w:rPr>
          <w:rFonts w:hint="eastAsia"/>
          <w:b/>
          <w:color w:val="000000"/>
        </w:rPr>
        <w:t>2、</w:t>
      </w:r>
      <w:r>
        <w:rPr>
          <w:rFonts w:hint="eastAsia"/>
          <w:b/>
        </w:rPr>
        <w:t>现有项目内容简介</w:t>
      </w:r>
      <w:bookmarkEnd w:id="35"/>
    </w:p>
    <w:p w14:paraId="76E74904">
      <w:pPr>
        <w:pStyle w:val="122"/>
        <w:ind w:firstLine="480"/>
        <w:rPr>
          <w:bCs/>
        </w:rPr>
      </w:pPr>
      <w:r>
        <w:rPr>
          <w:rFonts w:hint="eastAsia"/>
          <w:bCs/>
        </w:rPr>
        <w:t>杭州禾丰奥蜜尔家私有限公司成立于1994年4月25日，注册地位于浙江省杭州市临平区东湖街道天荷路3号3幢。公司主要产品类型为各类型家具。</w:t>
      </w:r>
    </w:p>
    <w:p w14:paraId="21E91DC2">
      <w:pPr>
        <w:pStyle w:val="122"/>
        <w:ind w:firstLine="480"/>
        <w:rPr>
          <w:bCs/>
        </w:rPr>
      </w:pPr>
      <w:r>
        <w:rPr>
          <w:rFonts w:hint="eastAsia"/>
          <w:bCs/>
        </w:rPr>
        <w:t>企业成立至今已经过多次审批，具体如下：</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
        <w:gridCol w:w="2478"/>
        <w:gridCol w:w="1487"/>
        <w:gridCol w:w="2649"/>
        <w:gridCol w:w="1657"/>
        <w:gridCol w:w="992"/>
      </w:tblGrid>
      <w:tr w14:paraId="44DE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Align w:val="center"/>
          </w:tcPr>
          <w:p w14:paraId="07276655">
            <w:pPr>
              <w:adjustRightInd w:val="0"/>
              <w:snapToGrid w:val="0"/>
              <w:jc w:val="center"/>
              <w:rPr>
                <w:sz w:val="18"/>
                <w:szCs w:val="18"/>
              </w:rPr>
            </w:pPr>
            <w:r>
              <w:rPr>
                <w:sz w:val="18"/>
                <w:szCs w:val="18"/>
              </w:rPr>
              <w:t>序号</w:t>
            </w:r>
          </w:p>
        </w:tc>
        <w:tc>
          <w:tcPr>
            <w:tcW w:w="0" w:type="auto"/>
            <w:vAlign w:val="center"/>
          </w:tcPr>
          <w:p w14:paraId="0D8D8FF7">
            <w:pPr>
              <w:adjustRightInd w:val="0"/>
              <w:snapToGrid w:val="0"/>
              <w:jc w:val="center"/>
              <w:rPr>
                <w:sz w:val="18"/>
                <w:szCs w:val="18"/>
              </w:rPr>
            </w:pPr>
            <w:r>
              <w:rPr>
                <w:sz w:val="18"/>
                <w:szCs w:val="18"/>
              </w:rPr>
              <w:t>项目名称</w:t>
            </w:r>
          </w:p>
        </w:tc>
        <w:tc>
          <w:tcPr>
            <w:tcW w:w="0" w:type="auto"/>
            <w:vAlign w:val="center"/>
          </w:tcPr>
          <w:p w14:paraId="0AD8BC58">
            <w:pPr>
              <w:adjustRightInd w:val="0"/>
              <w:snapToGrid w:val="0"/>
              <w:jc w:val="center"/>
              <w:rPr>
                <w:sz w:val="18"/>
                <w:szCs w:val="18"/>
              </w:rPr>
            </w:pPr>
            <w:r>
              <w:rPr>
                <w:sz w:val="18"/>
                <w:szCs w:val="18"/>
              </w:rPr>
              <w:t>审批文号</w:t>
            </w:r>
          </w:p>
        </w:tc>
        <w:tc>
          <w:tcPr>
            <w:tcW w:w="0" w:type="auto"/>
            <w:vAlign w:val="center"/>
          </w:tcPr>
          <w:p w14:paraId="37BE25A1">
            <w:pPr>
              <w:adjustRightInd w:val="0"/>
              <w:snapToGrid w:val="0"/>
              <w:jc w:val="center"/>
              <w:rPr>
                <w:sz w:val="18"/>
                <w:szCs w:val="18"/>
              </w:rPr>
            </w:pPr>
            <w:r>
              <w:rPr>
                <w:rFonts w:hint="eastAsia"/>
                <w:sz w:val="18"/>
                <w:szCs w:val="18"/>
              </w:rPr>
              <w:t>审批规模</w:t>
            </w:r>
          </w:p>
        </w:tc>
        <w:tc>
          <w:tcPr>
            <w:tcW w:w="0" w:type="auto"/>
            <w:vAlign w:val="center"/>
          </w:tcPr>
          <w:p w14:paraId="14B66B08">
            <w:pPr>
              <w:adjustRightInd w:val="0"/>
              <w:snapToGrid w:val="0"/>
              <w:jc w:val="center"/>
              <w:rPr>
                <w:sz w:val="18"/>
                <w:szCs w:val="18"/>
              </w:rPr>
            </w:pPr>
            <w:r>
              <w:rPr>
                <w:rFonts w:hint="eastAsia"/>
                <w:sz w:val="18"/>
                <w:szCs w:val="18"/>
              </w:rPr>
              <w:t>验收文号</w:t>
            </w:r>
          </w:p>
        </w:tc>
        <w:tc>
          <w:tcPr>
            <w:tcW w:w="0" w:type="auto"/>
            <w:vAlign w:val="center"/>
          </w:tcPr>
          <w:p w14:paraId="3534C7B5">
            <w:pPr>
              <w:adjustRightInd w:val="0"/>
              <w:snapToGrid w:val="0"/>
              <w:jc w:val="center"/>
              <w:rPr>
                <w:sz w:val="18"/>
                <w:szCs w:val="18"/>
              </w:rPr>
            </w:pPr>
            <w:r>
              <w:rPr>
                <w:rFonts w:hint="eastAsia"/>
                <w:sz w:val="18"/>
                <w:szCs w:val="18"/>
              </w:rPr>
              <w:t>实际总产能</w:t>
            </w:r>
          </w:p>
        </w:tc>
      </w:tr>
      <w:tr w14:paraId="5B17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1AA1B36F">
            <w:pPr>
              <w:adjustRightInd w:val="0"/>
              <w:snapToGrid w:val="0"/>
              <w:jc w:val="center"/>
              <w:rPr>
                <w:sz w:val="18"/>
                <w:szCs w:val="18"/>
              </w:rPr>
            </w:pPr>
            <w:r>
              <w:rPr>
                <w:sz w:val="18"/>
                <w:szCs w:val="18"/>
              </w:rPr>
              <w:t>1</w:t>
            </w:r>
          </w:p>
        </w:tc>
        <w:tc>
          <w:tcPr>
            <w:tcW w:w="0" w:type="auto"/>
            <w:vAlign w:val="center"/>
          </w:tcPr>
          <w:p w14:paraId="486D5CCD">
            <w:pPr>
              <w:adjustRightInd w:val="0"/>
              <w:snapToGrid w:val="0"/>
              <w:rPr>
                <w:sz w:val="18"/>
                <w:szCs w:val="18"/>
              </w:rPr>
            </w:pPr>
            <w:r>
              <w:rPr>
                <w:rFonts w:hint="eastAsia"/>
                <w:sz w:val="18"/>
                <w:szCs w:val="18"/>
              </w:rPr>
              <w:t>杭州禾丰奥蜜尔家私有限公司第一分公司新建项目</w:t>
            </w:r>
          </w:p>
        </w:tc>
        <w:tc>
          <w:tcPr>
            <w:tcW w:w="0" w:type="auto"/>
            <w:vAlign w:val="center"/>
          </w:tcPr>
          <w:p w14:paraId="268DF625">
            <w:pPr>
              <w:adjustRightInd w:val="0"/>
              <w:snapToGrid w:val="0"/>
              <w:jc w:val="center"/>
              <w:rPr>
                <w:sz w:val="18"/>
                <w:szCs w:val="18"/>
              </w:rPr>
            </w:pPr>
            <w:r>
              <w:rPr>
                <w:sz w:val="18"/>
                <w:szCs w:val="18"/>
              </w:rPr>
              <w:t>环评批复[201</w:t>
            </w:r>
            <w:r>
              <w:rPr>
                <w:rFonts w:hint="eastAsia"/>
                <w:sz w:val="18"/>
                <w:szCs w:val="18"/>
              </w:rPr>
              <w:t>4</w:t>
            </w:r>
            <w:r>
              <w:rPr>
                <w:sz w:val="18"/>
                <w:szCs w:val="18"/>
              </w:rPr>
              <w:t>]</w:t>
            </w:r>
            <w:r>
              <w:rPr>
                <w:rFonts w:hint="eastAsia"/>
                <w:sz w:val="18"/>
                <w:szCs w:val="18"/>
              </w:rPr>
              <w:t>319</w:t>
            </w:r>
            <w:r>
              <w:rPr>
                <w:sz w:val="18"/>
                <w:szCs w:val="18"/>
              </w:rPr>
              <w:t>号</w:t>
            </w:r>
          </w:p>
        </w:tc>
        <w:tc>
          <w:tcPr>
            <w:tcW w:w="0" w:type="auto"/>
            <w:vAlign w:val="center"/>
          </w:tcPr>
          <w:p w14:paraId="2F28C2D5">
            <w:pPr>
              <w:adjustRightInd w:val="0"/>
              <w:snapToGrid w:val="0"/>
              <w:jc w:val="center"/>
              <w:rPr>
                <w:sz w:val="18"/>
                <w:szCs w:val="18"/>
              </w:rPr>
            </w:pPr>
            <w:r>
              <w:rPr>
                <w:rFonts w:hint="eastAsia"/>
                <w:sz w:val="18"/>
                <w:szCs w:val="18"/>
              </w:rPr>
              <w:t>年产家具35000件</w:t>
            </w:r>
          </w:p>
        </w:tc>
        <w:tc>
          <w:tcPr>
            <w:tcW w:w="0" w:type="auto"/>
            <w:vAlign w:val="center"/>
          </w:tcPr>
          <w:p w14:paraId="49C7339B">
            <w:pPr>
              <w:adjustRightInd w:val="0"/>
              <w:snapToGrid w:val="0"/>
              <w:jc w:val="center"/>
              <w:rPr>
                <w:sz w:val="18"/>
                <w:szCs w:val="18"/>
              </w:rPr>
            </w:pPr>
            <w:r>
              <w:rPr>
                <w:rFonts w:hint="eastAsia"/>
                <w:sz w:val="18"/>
                <w:szCs w:val="18"/>
              </w:rPr>
              <w:t>余环验</w:t>
            </w:r>
            <w:r>
              <w:rPr>
                <w:sz w:val="18"/>
                <w:szCs w:val="18"/>
              </w:rPr>
              <w:t>[201</w:t>
            </w:r>
            <w:r>
              <w:rPr>
                <w:rFonts w:hint="eastAsia"/>
                <w:sz w:val="18"/>
                <w:szCs w:val="18"/>
              </w:rPr>
              <w:t>7</w:t>
            </w:r>
            <w:r>
              <w:rPr>
                <w:sz w:val="18"/>
                <w:szCs w:val="18"/>
              </w:rPr>
              <w:t>]</w:t>
            </w:r>
            <w:r>
              <w:rPr>
                <w:rFonts w:hint="eastAsia"/>
                <w:sz w:val="18"/>
                <w:szCs w:val="18"/>
              </w:rPr>
              <w:t>6—045</w:t>
            </w:r>
            <w:r>
              <w:rPr>
                <w:sz w:val="18"/>
                <w:szCs w:val="18"/>
              </w:rPr>
              <w:t>号</w:t>
            </w:r>
          </w:p>
        </w:tc>
        <w:tc>
          <w:tcPr>
            <w:tcW w:w="0" w:type="auto"/>
            <w:vAlign w:val="center"/>
          </w:tcPr>
          <w:p w14:paraId="7A138D0F">
            <w:pPr>
              <w:adjustRightInd w:val="0"/>
              <w:snapToGrid w:val="0"/>
              <w:jc w:val="center"/>
              <w:rPr>
                <w:sz w:val="18"/>
                <w:szCs w:val="18"/>
              </w:rPr>
            </w:pPr>
            <w:r>
              <w:rPr>
                <w:rFonts w:hint="eastAsia"/>
                <w:sz w:val="18"/>
                <w:szCs w:val="18"/>
              </w:rPr>
              <w:t>与环评批复一致</w:t>
            </w:r>
          </w:p>
        </w:tc>
      </w:tr>
      <w:tr w14:paraId="5B6E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2C68A86B">
            <w:pPr>
              <w:adjustRightInd w:val="0"/>
              <w:snapToGrid w:val="0"/>
              <w:jc w:val="center"/>
              <w:rPr>
                <w:sz w:val="18"/>
                <w:szCs w:val="18"/>
              </w:rPr>
            </w:pPr>
            <w:r>
              <w:rPr>
                <w:rFonts w:hint="eastAsia"/>
                <w:sz w:val="18"/>
                <w:szCs w:val="18"/>
              </w:rPr>
              <w:t>2</w:t>
            </w:r>
          </w:p>
        </w:tc>
        <w:tc>
          <w:tcPr>
            <w:tcW w:w="0" w:type="auto"/>
            <w:vAlign w:val="center"/>
          </w:tcPr>
          <w:p w14:paraId="4611CCF7">
            <w:pPr>
              <w:adjustRightInd w:val="0"/>
              <w:snapToGrid w:val="0"/>
              <w:rPr>
                <w:sz w:val="18"/>
                <w:szCs w:val="18"/>
              </w:rPr>
            </w:pPr>
            <w:r>
              <w:rPr>
                <w:rFonts w:hint="eastAsia"/>
                <w:sz w:val="18"/>
                <w:szCs w:val="18"/>
              </w:rPr>
              <w:t>杭州禾丰奥蜜尔家私有限公司技改项目</w:t>
            </w:r>
          </w:p>
        </w:tc>
        <w:tc>
          <w:tcPr>
            <w:tcW w:w="0" w:type="auto"/>
            <w:vAlign w:val="center"/>
          </w:tcPr>
          <w:p w14:paraId="33F0ED22">
            <w:pPr>
              <w:adjustRightInd w:val="0"/>
              <w:snapToGrid w:val="0"/>
              <w:jc w:val="center"/>
              <w:rPr>
                <w:sz w:val="18"/>
                <w:szCs w:val="18"/>
              </w:rPr>
            </w:pPr>
            <w:r>
              <w:rPr>
                <w:sz w:val="18"/>
                <w:szCs w:val="18"/>
              </w:rPr>
              <w:t>环评批复[201</w:t>
            </w:r>
            <w:r>
              <w:rPr>
                <w:rFonts w:hint="eastAsia"/>
                <w:sz w:val="18"/>
                <w:szCs w:val="18"/>
              </w:rPr>
              <w:t>7</w:t>
            </w:r>
            <w:r>
              <w:rPr>
                <w:sz w:val="18"/>
                <w:szCs w:val="18"/>
              </w:rPr>
              <w:t>]</w:t>
            </w:r>
            <w:r>
              <w:rPr>
                <w:rFonts w:hint="eastAsia"/>
                <w:sz w:val="18"/>
                <w:szCs w:val="18"/>
              </w:rPr>
              <w:t>145</w:t>
            </w:r>
            <w:r>
              <w:rPr>
                <w:sz w:val="18"/>
                <w:szCs w:val="18"/>
              </w:rPr>
              <w:t>号</w:t>
            </w:r>
          </w:p>
        </w:tc>
        <w:tc>
          <w:tcPr>
            <w:tcW w:w="0" w:type="auto"/>
            <w:vAlign w:val="center"/>
          </w:tcPr>
          <w:p w14:paraId="3CC5FD2E">
            <w:pPr>
              <w:adjustRightInd w:val="0"/>
              <w:snapToGrid w:val="0"/>
              <w:jc w:val="center"/>
              <w:rPr>
                <w:sz w:val="18"/>
                <w:szCs w:val="18"/>
              </w:rPr>
            </w:pPr>
            <w:r>
              <w:rPr>
                <w:rFonts w:hint="eastAsia"/>
                <w:sz w:val="18"/>
                <w:szCs w:val="18"/>
              </w:rPr>
              <w:t>年产80000张餐椅、2000张餐桌、2500套套房家具</w:t>
            </w:r>
          </w:p>
        </w:tc>
        <w:tc>
          <w:tcPr>
            <w:tcW w:w="0" w:type="auto"/>
            <w:vAlign w:val="center"/>
          </w:tcPr>
          <w:p w14:paraId="128EA0A9">
            <w:pPr>
              <w:adjustRightInd w:val="0"/>
              <w:snapToGrid w:val="0"/>
              <w:jc w:val="center"/>
              <w:rPr>
                <w:sz w:val="18"/>
                <w:szCs w:val="18"/>
              </w:rPr>
            </w:pPr>
            <w:r>
              <w:rPr>
                <w:rFonts w:hint="eastAsia"/>
                <w:sz w:val="18"/>
                <w:szCs w:val="18"/>
              </w:rPr>
              <w:t>未实施</w:t>
            </w:r>
          </w:p>
        </w:tc>
        <w:tc>
          <w:tcPr>
            <w:tcW w:w="0" w:type="auto"/>
            <w:vAlign w:val="center"/>
          </w:tcPr>
          <w:p w14:paraId="04B629CC">
            <w:pPr>
              <w:adjustRightInd w:val="0"/>
              <w:snapToGrid w:val="0"/>
              <w:jc w:val="center"/>
              <w:rPr>
                <w:sz w:val="18"/>
                <w:szCs w:val="18"/>
              </w:rPr>
            </w:pPr>
            <w:r>
              <w:rPr>
                <w:rFonts w:hint="eastAsia"/>
                <w:sz w:val="18"/>
                <w:szCs w:val="18"/>
              </w:rPr>
              <w:t>/</w:t>
            </w:r>
          </w:p>
        </w:tc>
      </w:tr>
    </w:tbl>
    <w:p w14:paraId="2BA6D6B3">
      <w:pPr>
        <w:spacing w:line="360" w:lineRule="auto"/>
        <w:rPr>
          <w:b/>
        </w:rPr>
      </w:pPr>
      <w:r>
        <w:rPr>
          <w:b/>
        </w:rPr>
        <w:t>2.1</w:t>
      </w:r>
      <w:r>
        <w:rPr>
          <w:rFonts w:hint="eastAsia"/>
          <w:b/>
        </w:rPr>
        <w:t>已批已验项目</w:t>
      </w:r>
    </w:p>
    <w:p w14:paraId="3A876DDD">
      <w:pPr>
        <w:spacing w:line="360" w:lineRule="auto"/>
        <w:ind w:firstLine="420" w:firstLineChars="200"/>
        <w:rPr>
          <w:bCs/>
        </w:rPr>
      </w:pPr>
      <w:r>
        <w:rPr>
          <w:rFonts w:hint="eastAsia"/>
          <w:bCs/>
        </w:rPr>
        <w:t>1、产品方案</w:t>
      </w:r>
    </w:p>
    <w:p w14:paraId="788E9325">
      <w:pPr>
        <w:pStyle w:val="116"/>
        <w:numPr>
          <w:ilvl w:val="0"/>
          <w:numId w:val="22"/>
        </w:numPr>
        <w:spacing w:before="0" w:beforeLines="0"/>
        <w:ind w:left="0"/>
      </w:pPr>
      <w:r>
        <w:rPr>
          <w:rFonts w:hint="eastAsia"/>
        </w:rPr>
        <w:t>已批已验项目产品方案一览表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2369"/>
        <w:gridCol w:w="2543"/>
        <w:gridCol w:w="3979"/>
      </w:tblGrid>
      <w:tr w14:paraId="15C1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442" w:type="pct"/>
            <w:vMerge w:val="restart"/>
            <w:vAlign w:val="center"/>
          </w:tcPr>
          <w:p w14:paraId="10AFE6CF">
            <w:pPr>
              <w:widowControl/>
              <w:jc w:val="center"/>
              <w:rPr>
                <w:kern w:val="0"/>
                <w:sz w:val="18"/>
                <w:szCs w:val="18"/>
              </w:rPr>
            </w:pPr>
            <w:bookmarkStart w:id="36" w:name="_Hlk97067912"/>
            <w:r>
              <w:rPr>
                <w:kern w:val="0"/>
                <w:sz w:val="18"/>
                <w:szCs w:val="18"/>
              </w:rPr>
              <w:t>序号</w:t>
            </w:r>
          </w:p>
        </w:tc>
        <w:tc>
          <w:tcPr>
            <w:tcW w:w="1214" w:type="pct"/>
            <w:vMerge w:val="restart"/>
            <w:vAlign w:val="center"/>
          </w:tcPr>
          <w:p w14:paraId="47364A1F">
            <w:pPr>
              <w:widowControl/>
              <w:jc w:val="center"/>
              <w:rPr>
                <w:kern w:val="0"/>
                <w:sz w:val="18"/>
                <w:szCs w:val="18"/>
              </w:rPr>
            </w:pPr>
            <w:r>
              <w:rPr>
                <w:rFonts w:hint="eastAsia"/>
                <w:kern w:val="0"/>
                <w:sz w:val="18"/>
                <w:szCs w:val="18"/>
              </w:rPr>
              <w:t>产品名称</w:t>
            </w:r>
          </w:p>
        </w:tc>
        <w:tc>
          <w:tcPr>
            <w:tcW w:w="1303" w:type="pct"/>
            <w:vMerge w:val="restart"/>
            <w:vAlign w:val="center"/>
          </w:tcPr>
          <w:p w14:paraId="08C66693">
            <w:pPr>
              <w:widowControl/>
              <w:jc w:val="center"/>
              <w:rPr>
                <w:kern w:val="0"/>
                <w:sz w:val="18"/>
                <w:szCs w:val="18"/>
              </w:rPr>
            </w:pPr>
            <w:r>
              <w:rPr>
                <w:rFonts w:hint="eastAsia"/>
                <w:kern w:val="0"/>
                <w:sz w:val="18"/>
                <w:szCs w:val="18"/>
              </w:rPr>
              <w:t>单位</w:t>
            </w:r>
          </w:p>
        </w:tc>
        <w:tc>
          <w:tcPr>
            <w:tcW w:w="2039" w:type="pct"/>
            <w:vAlign w:val="center"/>
          </w:tcPr>
          <w:p w14:paraId="3E59CAAD">
            <w:pPr>
              <w:widowControl/>
              <w:jc w:val="center"/>
              <w:rPr>
                <w:kern w:val="0"/>
                <w:sz w:val="18"/>
                <w:szCs w:val="18"/>
              </w:rPr>
            </w:pPr>
            <w:r>
              <w:rPr>
                <w:rFonts w:hint="eastAsia"/>
                <w:kern w:val="0"/>
                <w:sz w:val="18"/>
                <w:szCs w:val="18"/>
              </w:rPr>
              <w:t>年产量</w:t>
            </w:r>
          </w:p>
        </w:tc>
      </w:tr>
      <w:tr w14:paraId="68A5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Merge w:val="continue"/>
            <w:vAlign w:val="center"/>
          </w:tcPr>
          <w:p w14:paraId="2F1A4FE9">
            <w:pPr>
              <w:widowControl/>
              <w:jc w:val="center"/>
              <w:rPr>
                <w:kern w:val="0"/>
                <w:sz w:val="18"/>
                <w:szCs w:val="18"/>
              </w:rPr>
            </w:pPr>
          </w:p>
        </w:tc>
        <w:tc>
          <w:tcPr>
            <w:tcW w:w="1214" w:type="pct"/>
            <w:vMerge w:val="continue"/>
            <w:vAlign w:val="center"/>
          </w:tcPr>
          <w:p w14:paraId="1F7874DD">
            <w:pPr>
              <w:widowControl/>
              <w:jc w:val="center"/>
              <w:rPr>
                <w:kern w:val="0"/>
                <w:sz w:val="18"/>
                <w:szCs w:val="18"/>
              </w:rPr>
            </w:pPr>
          </w:p>
        </w:tc>
        <w:tc>
          <w:tcPr>
            <w:tcW w:w="1303" w:type="pct"/>
            <w:vMerge w:val="continue"/>
            <w:vAlign w:val="center"/>
          </w:tcPr>
          <w:p w14:paraId="6B28063E">
            <w:pPr>
              <w:widowControl/>
              <w:jc w:val="center"/>
              <w:rPr>
                <w:kern w:val="0"/>
                <w:sz w:val="18"/>
                <w:szCs w:val="18"/>
              </w:rPr>
            </w:pPr>
          </w:p>
        </w:tc>
        <w:tc>
          <w:tcPr>
            <w:tcW w:w="2039" w:type="pct"/>
            <w:vAlign w:val="center"/>
          </w:tcPr>
          <w:p w14:paraId="79846F0F">
            <w:pPr>
              <w:widowControl/>
              <w:jc w:val="center"/>
              <w:rPr>
                <w:kern w:val="0"/>
                <w:sz w:val="18"/>
                <w:szCs w:val="18"/>
              </w:rPr>
            </w:pPr>
            <w:r>
              <w:rPr>
                <w:rFonts w:hint="eastAsia"/>
                <w:kern w:val="0"/>
                <w:sz w:val="18"/>
                <w:szCs w:val="18"/>
              </w:rPr>
              <w:t>已批/已验项目产能</w:t>
            </w:r>
          </w:p>
        </w:tc>
      </w:tr>
      <w:tr w14:paraId="2E74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442" w:type="pct"/>
            <w:vAlign w:val="center"/>
          </w:tcPr>
          <w:p w14:paraId="2F490CD6">
            <w:pPr>
              <w:widowControl/>
              <w:jc w:val="center"/>
              <w:rPr>
                <w:kern w:val="0"/>
                <w:sz w:val="18"/>
                <w:szCs w:val="18"/>
              </w:rPr>
            </w:pPr>
            <w:r>
              <w:rPr>
                <w:rFonts w:hint="eastAsia"/>
                <w:kern w:val="0"/>
                <w:sz w:val="18"/>
                <w:szCs w:val="18"/>
              </w:rPr>
              <w:t>1</w:t>
            </w:r>
          </w:p>
        </w:tc>
        <w:tc>
          <w:tcPr>
            <w:tcW w:w="1214" w:type="pct"/>
            <w:vAlign w:val="center"/>
          </w:tcPr>
          <w:p w14:paraId="207E30BB">
            <w:pPr>
              <w:widowControl/>
              <w:jc w:val="center"/>
              <w:rPr>
                <w:rFonts w:hint="eastAsia" w:hAnsi="宋体"/>
                <w:sz w:val="18"/>
                <w:szCs w:val="18"/>
              </w:rPr>
            </w:pPr>
            <w:r>
              <w:rPr>
                <w:rFonts w:hint="eastAsia" w:hAnsi="宋体"/>
                <w:sz w:val="18"/>
                <w:szCs w:val="18"/>
              </w:rPr>
              <w:t>餐椅</w:t>
            </w:r>
          </w:p>
        </w:tc>
        <w:tc>
          <w:tcPr>
            <w:tcW w:w="1303" w:type="pct"/>
            <w:vAlign w:val="center"/>
          </w:tcPr>
          <w:p w14:paraId="2420383F">
            <w:pPr>
              <w:widowControl/>
              <w:jc w:val="center"/>
              <w:rPr>
                <w:rFonts w:hint="eastAsia" w:hAnsi="宋体"/>
                <w:sz w:val="18"/>
                <w:szCs w:val="18"/>
              </w:rPr>
            </w:pPr>
            <w:r>
              <w:rPr>
                <w:rFonts w:hint="eastAsia" w:hAnsi="宋体"/>
                <w:sz w:val="18"/>
                <w:szCs w:val="18"/>
              </w:rPr>
              <w:t>万张/年</w:t>
            </w:r>
          </w:p>
        </w:tc>
        <w:tc>
          <w:tcPr>
            <w:tcW w:w="2039" w:type="pct"/>
            <w:vAlign w:val="center"/>
          </w:tcPr>
          <w:p w14:paraId="031A9937">
            <w:pPr>
              <w:widowControl/>
              <w:jc w:val="center"/>
              <w:rPr>
                <w:rFonts w:hint="eastAsia" w:hAnsi="宋体"/>
                <w:sz w:val="18"/>
                <w:szCs w:val="18"/>
              </w:rPr>
            </w:pPr>
            <w:r>
              <w:rPr>
                <w:rFonts w:hint="eastAsia" w:hAnsi="宋体"/>
                <w:sz w:val="18"/>
                <w:szCs w:val="18"/>
              </w:rPr>
              <w:t>8</w:t>
            </w:r>
          </w:p>
        </w:tc>
      </w:tr>
      <w:tr w14:paraId="457E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Align w:val="center"/>
          </w:tcPr>
          <w:p w14:paraId="45B91ACD">
            <w:pPr>
              <w:widowControl/>
              <w:jc w:val="center"/>
              <w:rPr>
                <w:kern w:val="0"/>
                <w:sz w:val="18"/>
                <w:szCs w:val="18"/>
              </w:rPr>
            </w:pPr>
            <w:r>
              <w:rPr>
                <w:rFonts w:hint="eastAsia"/>
                <w:kern w:val="0"/>
                <w:sz w:val="18"/>
                <w:szCs w:val="18"/>
              </w:rPr>
              <w:t>2</w:t>
            </w:r>
          </w:p>
        </w:tc>
        <w:tc>
          <w:tcPr>
            <w:tcW w:w="1214" w:type="pct"/>
            <w:vAlign w:val="center"/>
          </w:tcPr>
          <w:p w14:paraId="6946067B">
            <w:pPr>
              <w:widowControl/>
              <w:jc w:val="center"/>
              <w:rPr>
                <w:rFonts w:hint="eastAsia" w:hAnsi="宋体"/>
                <w:sz w:val="18"/>
                <w:szCs w:val="18"/>
              </w:rPr>
            </w:pPr>
            <w:r>
              <w:rPr>
                <w:rFonts w:hint="eastAsia" w:hAnsi="宋体"/>
                <w:sz w:val="18"/>
                <w:szCs w:val="18"/>
              </w:rPr>
              <w:t>餐桌</w:t>
            </w:r>
          </w:p>
        </w:tc>
        <w:tc>
          <w:tcPr>
            <w:tcW w:w="1303" w:type="pct"/>
          </w:tcPr>
          <w:p w14:paraId="3E739EFC">
            <w:pPr>
              <w:widowControl/>
              <w:jc w:val="center"/>
              <w:rPr>
                <w:rFonts w:hint="eastAsia" w:hAnsi="宋体"/>
                <w:sz w:val="18"/>
                <w:szCs w:val="18"/>
              </w:rPr>
            </w:pPr>
            <w:r>
              <w:rPr>
                <w:rFonts w:hint="eastAsia" w:hAnsi="宋体"/>
                <w:sz w:val="18"/>
                <w:szCs w:val="18"/>
              </w:rPr>
              <w:t>万张/年</w:t>
            </w:r>
          </w:p>
        </w:tc>
        <w:tc>
          <w:tcPr>
            <w:tcW w:w="2039" w:type="pct"/>
            <w:vAlign w:val="center"/>
          </w:tcPr>
          <w:p w14:paraId="74A6FE83">
            <w:pPr>
              <w:widowControl/>
              <w:jc w:val="center"/>
              <w:rPr>
                <w:rFonts w:hint="eastAsia" w:hAnsi="宋体"/>
                <w:sz w:val="18"/>
                <w:szCs w:val="18"/>
              </w:rPr>
            </w:pPr>
            <w:r>
              <w:rPr>
                <w:rFonts w:hint="eastAsia" w:hAnsi="宋体"/>
                <w:sz w:val="18"/>
                <w:szCs w:val="18"/>
              </w:rPr>
              <w:t>0.2</w:t>
            </w:r>
          </w:p>
        </w:tc>
      </w:tr>
      <w:tr w14:paraId="2FA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Align w:val="center"/>
          </w:tcPr>
          <w:p w14:paraId="307269CA">
            <w:pPr>
              <w:widowControl/>
              <w:jc w:val="center"/>
              <w:rPr>
                <w:kern w:val="0"/>
                <w:sz w:val="18"/>
                <w:szCs w:val="18"/>
              </w:rPr>
            </w:pPr>
            <w:r>
              <w:rPr>
                <w:rFonts w:hint="eastAsia"/>
                <w:kern w:val="0"/>
                <w:sz w:val="18"/>
                <w:szCs w:val="18"/>
              </w:rPr>
              <w:t>3</w:t>
            </w:r>
          </w:p>
        </w:tc>
        <w:tc>
          <w:tcPr>
            <w:tcW w:w="1214" w:type="pct"/>
            <w:vAlign w:val="center"/>
          </w:tcPr>
          <w:p w14:paraId="3051273A">
            <w:pPr>
              <w:widowControl/>
              <w:jc w:val="center"/>
              <w:rPr>
                <w:rFonts w:hint="eastAsia" w:hAnsi="宋体"/>
                <w:sz w:val="18"/>
                <w:szCs w:val="18"/>
              </w:rPr>
            </w:pPr>
            <w:r>
              <w:rPr>
                <w:rFonts w:hint="eastAsia" w:hAnsi="宋体"/>
                <w:sz w:val="18"/>
                <w:szCs w:val="18"/>
              </w:rPr>
              <w:t>套房家具</w:t>
            </w:r>
          </w:p>
        </w:tc>
        <w:tc>
          <w:tcPr>
            <w:tcW w:w="1303" w:type="pct"/>
          </w:tcPr>
          <w:p w14:paraId="345AA26E">
            <w:pPr>
              <w:widowControl/>
              <w:jc w:val="center"/>
              <w:rPr>
                <w:rFonts w:hint="eastAsia" w:hAnsi="宋体"/>
                <w:sz w:val="18"/>
                <w:szCs w:val="18"/>
              </w:rPr>
            </w:pPr>
            <w:r>
              <w:rPr>
                <w:rFonts w:hint="eastAsia" w:hAnsi="宋体"/>
                <w:sz w:val="18"/>
                <w:szCs w:val="18"/>
              </w:rPr>
              <w:t>万套/年</w:t>
            </w:r>
          </w:p>
        </w:tc>
        <w:tc>
          <w:tcPr>
            <w:tcW w:w="2039" w:type="pct"/>
            <w:vAlign w:val="center"/>
          </w:tcPr>
          <w:p w14:paraId="14161EF2">
            <w:pPr>
              <w:widowControl/>
              <w:jc w:val="center"/>
              <w:rPr>
                <w:rFonts w:hint="eastAsia" w:hAnsi="宋体"/>
                <w:sz w:val="18"/>
                <w:szCs w:val="18"/>
              </w:rPr>
            </w:pPr>
            <w:r>
              <w:rPr>
                <w:rFonts w:hint="eastAsia" w:hAnsi="宋体"/>
                <w:sz w:val="18"/>
                <w:szCs w:val="18"/>
              </w:rPr>
              <w:t>0.25</w:t>
            </w:r>
          </w:p>
        </w:tc>
      </w:tr>
      <w:tr w14:paraId="2D18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2" w:type="pct"/>
            <w:vAlign w:val="center"/>
          </w:tcPr>
          <w:p w14:paraId="3B9A5C6F">
            <w:pPr>
              <w:widowControl/>
              <w:jc w:val="center"/>
              <w:rPr>
                <w:kern w:val="0"/>
                <w:sz w:val="18"/>
                <w:szCs w:val="18"/>
              </w:rPr>
            </w:pPr>
            <w:r>
              <w:rPr>
                <w:rFonts w:hint="eastAsia"/>
                <w:kern w:val="0"/>
                <w:sz w:val="18"/>
                <w:szCs w:val="18"/>
              </w:rPr>
              <w:t>4</w:t>
            </w:r>
          </w:p>
        </w:tc>
        <w:tc>
          <w:tcPr>
            <w:tcW w:w="1214" w:type="pct"/>
            <w:vAlign w:val="center"/>
          </w:tcPr>
          <w:p w14:paraId="2BD8D4FC">
            <w:pPr>
              <w:widowControl/>
              <w:jc w:val="center"/>
              <w:rPr>
                <w:rFonts w:hint="eastAsia" w:hAnsi="宋体"/>
                <w:sz w:val="18"/>
                <w:szCs w:val="18"/>
              </w:rPr>
            </w:pPr>
            <w:r>
              <w:rPr>
                <w:rFonts w:hint="eastAsia" w:hAnsi="宋体"/>
                <w:sz w:val="18"/>
                <w:szCs w:val="18"/>
              </w:rPr>
              <w:t>家具</w:t>
            </w:r>
          </w:p>
        </w:tc>
        <w:tc>
          <w:tcPr>
            <w:tcW w:w="1303" w:type="pct"/>
          </w:tcPr>
          <w:p w14:paraId="386F860A">
            <w:pPr>
              <w:widowControl/>
              <w:jc w:val="center"/>
              <w:rPr>
                <w:rFonts w:hint="eastAsia" w:hAnsi="宋体"/>
                <w:sz w:val="18"/>
                <w:szCs w:val="18"/>
              </w:rPr>
            </w:pPr>
            <w:r>
              <w:rPr>
                <w:rFonts w:hint="eastAsia" w:hAnsi="宋体"/>
                <w:sz w:val="18"/>
                <w:szCs w:val="18"/>
              </w:rPr>
              <w:t>万件/年</w:t>
            </w:r>
          </w:p>
        </w:tc>
        <w:tc>
          <w:tcPr>
            <w:tcW w:w="2039" w:type="pct"/>
            <w:vAlign w:val="center"/>
          </w:tcPr>
          <w:p w14:paraId="2975F3D8">
            <w:pPr>
              <w:widowControl/>
              <w:jc w:val="center"/>
              <w:rPr>
                <w:rFonts w:hint="eastAsia" w:hAnsi="宋体"/>
                <w:sz w:val="18"/>
                <w:szCs w:val="18"/>
              </w:rPr>
            </w:pPr>
            <w:r>
              <w:rPr>
                <w:rFonts w:hint="eastAsia" w:hAnsi="宋体"/>
                <w:sz w:val="18"/>
                <w:szCs w:val="18"/>
              </w:rPr>
              <w:t>3.5</w:t>
            </w:r>
          </w:p>
        </w:tc>
      </w:tr>
      <w:bookmarkEnd w:id="36"/>
    </w:tbl>
    <w:p w14:paraId="1B3B6087">
      <w:pPr>
        <w:autoSpaceDE w:val="0"/>
        <w:autoSpaceDN w:val="0"/>
        <w:adjustRightInd w:val="0"/>
        <w:spacing w:line="360" w:lineRule="auto"/>
        <w:ind w:firstLine="420" w:firstLineChars="200"/>
      </w:pPr>
      <w:r>
        <w:rPr>
          <w:rFonts w:hint="eastAsia"/>
          <w:bCs/>
        </w:rPr>
        <w:t>2、</w:t>
      </w:r>
      <w:r>
        <w:rPr>
          <w:rFonts w:hint="eastAsia"/>
        </w:rPr>
        <w:t>企业现有项目污染物总量控制</w:t>
      </w:r>
    </w:p>
    <w:p w14:paraId="4FF2D3D7">
      <w:pPr>
        <w:autoSpaceDE w:val="0"/>
        <w:autoSpaceDN w:val="0"/>
        <w:adjustRightInd w:val="0"/>
        <w:spacing w:line="360" w:lineRule="auto"/>
        <w:ind w:firstLine="420" w:firstLineChars="200"/>
      </w:pPr>
      <w:r>
        <w:rPr>
          <w:rFonts w:hint="eastAsia"/>
        </w:rPr>
        <w:t>纳入总量控制的污染物CODcr、氨氮、二氧化硫、氮氧化物、VOCs、烟粉尘，根据原环评总量计算，企业现有已批复排放量具体见下表。</w:t>
      </w:r>
    </w:p>
    <w:p w14:paraId="31B5ACCF">
      <w:pPr>
        <w:pStyle w:val="116"/>
        <w:numPr>
          <w:ilvl w:val="0"/>
          <w:numId w:val="22"/>
        </w:numPr>
        <w:spacing w:before="0" w:beforeLines="0"/>
        <w:ind w:left="0"/>
      </w:pPr>
      <w:r>
        <w:rPr>
          <w:rFonts w:hint="eastAsia"/>
        </w:rPr>
        <w:t>企业现有项目</w:t>
      </w:r>
      <w:r>
        <w:rPr>
          <w:rFonts w:hint="eastAsia"/>
          <w:lang w:val="en-US"/>
        </w:rPr>
        <w:t>总量控制情况</w:t>
      </w:r>
      <w:r>
        <w:rPr>
          <w:rFonts w:hint="eastAsia"/>
        </w:rPr>
        <w:t xml:space="preserve"> </w:t>
      </w:r>
      <w:r>
        <w:t xml:space="preserve"> </w:t>
      </w:r>
      <w:r>
        <w:rPr>
          <w:rFonts w:hint="eastAsia"/>
        </w:rPr>
        <w:t>单位：t/a</w:t>
      </w:r>
    </w:p>
    <w:tbl>
      <w:tblPr>
        <w:tblStyle w:val="88"/>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22"/>
        <w:gridCol w:w="2623"/>
        <w:gridCol w:w="1787"/>
        <w:gridCol w:w="1685"/>
        <w:gridCol w:w="2468"/>
      </w:tblGrid>
      <w:tr w14:paraId="31DE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533" w:type="pct"/>
            <w:vAlign w:val="center"/>
          </w:tcPr>
          <w:p w14:paraId="21B3428A">
            <w:pPr>
              <w:adjustRightInd w:val="0"/>
              <w:snapToGrid w:val="0"/>
              <w:jc w:val="center"/>
              <w:rPr>
                <w:sz w:val="18"/>
                <w:szCs w:val="18"/>
              </w:rPr>
            </w:pPr>
            <w:r>
              <w:rPr>
                <w:sz w:val="18"/>
                <w:szCs w:val="18"/>
              </w:rPr>
              <w:t>内容</w:t>
            </w:r>
          </w:p>
          <w:p w14:paraId="750C6A97">
            <w:pPr>
              <w:adjustRightInd w:val="0"/>
              <w:snapToGrid w:val="0"/>
              <w:jc w:val="center"/>
              <w:rPr>
                <w:sz w:val="18"/>
                <w:szCs w:val="18"/>
              </w:rPr>
            </w:pPr>
            <w:r>
              <w:rPr>
                <w:sz w:val="18"/>
                <w:szCs w:val="18"/>
              </w:rPr>
              <w:t>类型</w:t>
            </w:r>
          </w:p>
        </w:tc>
        <w:tc>
          <w:tcPr>
            <w:tcW w:w="1368" w:type="pct"/>
            <w:vAlign w:val="center"/>
          </w:tcPr>
          <w:p w14:paraId="7862277A">
            <w:pPr>
              <w:adjustRightInd w:val="0"/>
              <w:snapToGrid w:val="0"/>
              <w:jc w:val="center"/>
              <w:rPr>
                <w:sz w:val="18"/>
                <w:szCs w:val="18"/>
              </w:rPr>
            </w:pPr>
            <w:r>
              <w:rPr>
                <w:sz w:val="18"/>
                <w:szCs w:val="18"/>
              </w:rPr>
              <w:t>排放源</w:t>
            </w:r>
          </w:p>
          <w:p w14:paraId="689160A3">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1811" w:type="pct"/>
            <w:gridSpan w:val="2"/>
            <w:vAlign w:val="center"/>
          </w:tcPr>
          <w:p w14:paraId="2C354E05">
            <w:pPr>
              <w:adjustRightInd w:val="0"/>
              <w:snapToGrid w:val="0"/>
              <w:jc w:val="center"/>
              <w:rPr>
                <w:sz w:val="18"/>
                <w:szCs w:val="18"/>
              </w:rPr>
            </w:pPr>
            <w:r>
              <w:rPr>
                <w:sz w:val="18"/>
                <w:szCs w:val="18"/>
              </w:rPr>
              <w:t>原有审批污染物</w:t>
            </w:r>
            <w:r>
              <w:rPr>
                <w:rFonts w:hint="eastAsia"/>
                <w:sz w:val="18"/>
                <w:szCs w:val="18"/>
              </w:rPr>
              <w:t>名称</w:t>
            </w:r>
          </w:p>
        </w:tc>
        <w:tc>
          <w:tcPr>
            <w:tcW w:w="1287" w:type="pct"/>
            <w:vAlign w:val="center"/>
          </w:tcPr>
          <w:p w14:paraId="13FED283">
            <w:pPr>
              <w:adjustRightInd w:val="0"/>
              <w:snapToGrid w:val="0"/>
              <w:jc w:val="center"/>
              <w:rPr>
                <w:sz w:val="18"/>
                <w:szCs w:val="18"/>
              </w:rPr>
            </w:pPr>
            <w:r>
              <w:rPr>
                <w:rFonts w:hint="eastAsia"/>
                <w:sz w:val="18"/>
                <w:szCs w:val="18"/>
              </w:rPr>
              <w:t>原有审批</w:t>
            </w:r>
            <w:r>
              <w:rPr>
                <w:sz w:val="18"/>
                <w:szCs w:val="18"/>
              </w:rPr>
              <w:t>核定总量</w:t>
            </w:r>
          </w:p>
        </w:tc>
      </w:tr>
      <w:tr w14:paraId="56FF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restart"/>
            <w:vAlign w:val="center"/>
          </w:tcPr>
          <w:p w14:paraId="4546D850">
            <w:pPr>
              <w:adjustRightInd w:val="0"/>
              <w:snapToGrid w:val="0"/>
              <w:jc w:val="center"/>
              <w:rPr>
                <w:bCs/>
                <w:sz w:val="18"/>
                <w:szCs w:val="18"/>
              </w:rPr>
            </w:pPr>
            <w:r>
              <w:rPr>
                <w:bCs/>
                <w:sz w:val="18"/>
                <w:szCs w:val="18"/>
              </w:rPr>
              <w:t>废水</w:t>
            </w:r>
          </w:p>
          <w:p w14:paraId="49E54B01">
            <w:pPr>
              <w:adjustRightInd w:val="0"/>
              <w:snapToGrid w:val="0"/>
              <w:jc w:val="center"/>
              <w:rPr>
                <w:bCs/>
                <w:sz w:val="18"/>
                <w:szCs w:val="18"/>
              </w:rPr>
            </w:pPr>
            <w:r>
              <w:rPr>
                <w:bCs/>
                <w:sz w:val="18"/>
                <w:szCs w:val="18"/>
              </w:rPr>
              <w:t>污染物</w:t>
            </w:r>
          </w:p>
        </w:tc>
        <w:tc>
          <w:tcPr>
            <w:tcW w:w="1368" w:type="pct"/>
            <w:vMerge w:val="restart"/>
            <w:vAlign w:val="center"/>
          </w:tcPr>
          <w:p w14:paraId="7C7B4C50">
            <w:pPr>
              <w:adjustRightInd w:val="0"/>
              <w:snapToGrid w:val="0"/>
              <w:jc w:val="center"/>
              <w:rPr>
                <w:sz w:val="18"/>
                <w:szCs w:val="18"/>
              </w:rPr>
            </w:pPr>
            <w:r>
              <w:rPr>
                <w:rFonts w:hint="eastAsia"/>
                <w:sz w:val="18"/>
                <w:szCs w:val="18"/>
              </w:rPr>
              <w:t>废水</w:t>
            </w:r>
          </w:p>
        </w:tc>
        <w:tc>
          <w:tcPr>
            <w:tcW w:w="1811" w:type="pct"/>
            <w:gridSpan w:val="2"/>
            <w:vAlign w:val="center"/>
          </w:tcPr>
          <w:p w14:paraId="212B88EF">
            <w:pPr>
              <w:adjustRightInd w:val="0"/>
              <w:snapToGrid w:val="0"/>
              <w:jc w:val="center"/>
              <w:rPr>
                <w:spacing w:val="-10"/>
                <w:sz w:val="18"/>
                <w:szCs w:val="18"/>
              </w:rPr>
            </w:pPr>
            <w:r>
              <w:rPr>
                <w:spacing w:val="-10"/>
                <w:sz w:val="18"/>
                <w:szCs w:val="18"/>
              </w:rPr>
              <w:t>水量</w:t>
            </w:r>
          </w:p>
        </w:tc>
        <w:tc>
          <w:tcPr>
            <w:tcW w:w="1287" w:type="pct"/>
          </w:tcPr>
          <w:p w14:paraId="1E30F3A5">
            <w:pPr>
              <w:jc w:val="center"/>
              <w:rPr>
                <w:sz w:val="18"/>
                <w:szCs w:val="18"/>
              </w:rPr>
            </w:pPr>
            <w:r>
              <w:rPr>
                <w:rFonts w:hint="eastAsia"/>
                <w:sz w:val="18"/>
                <w:szCs w:val="18"/>
              </w:rPr>
              <w:t>2730.75t/a</w:t>
            </w:r>
          </w:p>
        </w:tc>
      </w:tr>
      <w:tr w14:paraId="1C8B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3" w:type="pct"/>
            <w:vMerge w:val="continue"/>
            <w:vAlign w:val="center"/>
          </w:tcPr>
          <w:p w14:paraId="2E1A779E">
            <w:pPr>
              <w:adjustRightInd w:val="0"/>
              <w:snapToGrid w:val="0"/>
              <w:jc w:val="center"/>
              <w:rPr>
                <w:bCs/>
                <w:sz w:val="18"/>
                <w:szCs w:val="18"/>
              </w:rPr>
            </w:pPr>
          </w:p>
        </w:tc>
        <w:tc>
          <w:tcPr>
            <w:tcW w:w="1368" w:type="pct"/>
            <w:vMerge w:val="continue"/>
            <w:vAlign w:val="center"/>
          </w:tcPr>
          <w:p w14:paraId="486BB4FA">
            <w:pPr>
              <w:adjustRightInd w:val="0"/>
              <w:snapToGrid w:val="0"/>
              <w:jc w:val="center"/>
              <w:rPr>
                <w:sz w:val="18"/>
                <w:szCs w:val="18"/>
              </w:rPr>
            </w:pPr>
          </w:p>
        </w:tc>
        <w:tc>
          <w:tcPr>
            <w:tcW w:w="1811" w:type="pct"/>
            <w:gridSpan w:val="2"/>
            <w:vAlign w:val="center"/>
          </w:tcPr>
          <w:p w14:paraId="670AA6B8">
            <w:pPr>
              <w:adjustRightInd w:val="0"/>
              <w:snapToGrid w:val="0"/>
              <w:jc w:val="center"/>
              <w:rPr>
                <w:spacing w:val="-10"/>
                <w:sz w:val="18"/>
                <w:szCs w:val="18"/>
              </w:rPr>
            </w:pPr>
            <w:r>
              <w:rPr>
                <w:sz w:val="18"/>
                <w:szCs w:val="18"/>
              </w:rPr>
              <w:t>COD</w:t>
            </w:r>
            <w:r>
              <w:rPr>
                <w:sz w:val="18"/>
                <w:szCs w:val="18"/>
                <w:vertAlign w:val="subscript"/>
              </w:rPr>
              <w:t>Cr</w:t>
            </w:r>
          </w:p>
        </w:tc>
        <w:tc>
          <w:tcPr>
            <w:tcW w:w="1287" w:type="pct"/>
          </w:tcPr>
          <w:p w14:paraId="1EAAE120">
            <w:pPr>
              <w:jc w:val="center"/>
              <w:rPr>
                <w:sz w:val="18"/>
                <w:szCs w:val="18"/>
              </w:rPr>
            </w:pPr>
            <w:r>
              <w:rPr>
                <w:rFonts w:hint="eastAsia"/>
                <w:sz w:val="18"/>
                <w:szCs w:val="18"/>
              </w:rPr>
              <w:t>0.13985t/a</w:t>
            </w:r>
          </w:p>
        </w:tc>
      </w:tr>
      <w:tr w14:paraId="77AD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245F8530">
            <w:pPr>
              <w:adjustRightInd w:val="0"/>
              <w:snapToGrid w:val="0"/>
              <w:jc w:val="center"/>
              <w:rPr>
                <w:bCs/>
                <w:sz w:val="18"/>
                <w:szCs w:val="18"/>
              </w:rPr>
            </w:pPr>
          </w:p>
        </w:tc>
        <w:tc>
          <w:tcPr>
            <w:tcW w:w="1368" w:type="pct"/>
            <w:vMerge w:val="continue"/>
            <w:vAlign w:val="center"/>
          </w:tcPr>
          <w:p w14:paraId="7F855109">
            <w:pPr>
              <w:adjustRightInd w:val="0"/>
              <w:snapToGrid w:val="0"/>
              <w:jc w:val="center"/>
              <w:rPr>
                <w:sz w:val="18"/>
                <w:szCs w:val="18"/>
              </w:rPr>
            </w:pPr>
          </w:p>
        </w:tc>
        <w:tc>
          <w:tcPr>
            <w:tcW w:w="1811" w:type="pct"/>
            <w:gridSpan w:val="2"/>
            <w:vAlign w:val="center"/>
          </w:tcPr>
          <w:p w14:paraId="3882B4DD">
            <w:pPr>
              <w:adjustRightInd w:val="0"/>
              <w:snapToGrid w:val="0"/>
              <w:jc w:val="center"/>
              <w:rPr>
                <w:spacing w:val="-10"/>
                <w:sz w:val="18"/>
                <w:szCs w:val="18"/>
              </w:rPr>
            </w:pPr>
            <w:r>
              <w:rPr>
                <w:sz w:val="18"/>
                <w:szCs w:val="18"/>
              </w:rPr>
              <w:t>氨氮</w:t>
            </w:r>
          </w:p>
        </w:tc>
        <w:tc>
          <w:tcPr>
            <w:tcW w:w="1287" w:type="pct"/>
          </w:tcPr>
          <w:p w14:paraId="09616006">
            <w:pPr>
              <w:jc w:val="center"/>
              <w:rPr>
                <w:sz w:val="18"/>
                <w:szCs w:val="18"/>
              </w:rPr>
            </w:pPr>
            <w:r>
              <w:rPr>
                <w:rFonts w:hint="eastAsia"/>
                <w:sz w:val="18"/>
                <w:szCs w:val="18"/>
              </w:rPr>
              <w:t>0.01696t/a</w:t>
            </w:r>
          </w:p>
        </w:tc>
      </w:tr>
      <w:tr w14:paraId="202A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restart"/>
            <w:vAlign w:val="center"/>
          </w:tcPr>
          <w:p w14:paraId="56770450">
            <w:pPr>
              <w:adjustRightInd w:val="0"/>
              <w:snapToGrid w:val="0"/>
              <w:jc w:val="center"/>
              <w:rPr>
                <w:bCs/>
                <w:sz w:val="18"/>
                <w:szCs w:val="18"/>
              </w:rPr>
            </w:pPr>
            <w:r>
              <w:rPr>
                <w:bCs/>
                <w:sz w:val="18"/>
                <w:szCs w:val="18"/>
              </w:rPr>
              <w:t>废气</w:t>
            </w:r>
          </w:p>
          <w:p w14:paraId="2EED52D8">
            <w:pPr>
              <w:adjustRightInd w:val="0"/>
              <w:snapToGrid w:val="0"/>
              <w:jc w:val="center"/>
              <w:rPr>
                <w:bCs/>
                <w:sz w:val="18"/>
                <w:szCs w:val="18"/>
              </w:rPr>
            </w:pPr>
            <w:r>
              <w:rPr>
                <w:bCs/>
                <w:sz w:val="18"/>
                <w:szCs w:val="18"/>
              </w:rPr>
              <w:t>污染物</w:t>
            </w:r>
          </w:p>
        </w:tc>
        <w:tc>
          <w:tcPr>
            <w:tcW w:w="1368" w:type="pct"/>
            <w:vMerge w:val="restart"/>
            <w:vAlign w:val="center"/>
          </w:tcPr>
          <w:p w14:paraId="619003E1">
            <w:pPr>
              <w:adjustRightInd w:val="0"/>
              <w:snapToGrid w:val="0"/>
              <w:jc w:val="center"/>
              <w:rPr>
                <w:sz w:val="18"/>
                <w:szCs w:val="18"/>
              </w:rPr>
            </w:pPr>
            <w:r>
              <w:rPr>
                <w:rFonts w:hint="eastAsia"/>
                <w:sz w:val="18"/>
                <w:szCs w:val="18"/>
              </w:rPr>
              <w:t>废气</w:t>
            </w:r>
          </w:p>
        </w:tc>
        <w:tc>
          <w:tcPr>
            <w:tcW w:w="1811" w:type="pct"/>
            <w:gridSpan w:val="2"/>
            <w:vAlign w:val="center"/>
          </w:tcPr>
          <w:p w14:paraId="6CF1BFA7">
            <w:pPr>
              <w:adjustRightInd w:val="0"/>
              <w:snapToGrid w:val="0"/>
              <w:jc w:val="center"/>
              <w:rPr>
                <w:sz w:val="18"/>
                <w:szCs w:val="18"/>
              </w:rPr>
            </w:pPr>
            <w:r>
              <w:rPr>
                <w:rFonts w:hint="eastAsia"/>
                <w:sz w:val="18"/>
                <w:szCs w:val="18"/>
              </w:rPr>
              <w:t>SO</w:t>
            </w:r>
            <w:r>
              <w:rPr>
                <w:rFonts w:hint="eastAsia"/>
                <w:sz w:val="18"/>
                <w:szCs w:val="18"/>
                <w:vertAlign w:val="subscript"/>
              </w:rPr>
              <w:t>2</w:t>
            </w:r>
          </w:p>
        </w:tc>
        <w:tc>
          <w:tcPr>
            <w:tcW w:w="1287" w:type="pct"/>
          </w:tcPr>
          <w:p w14:paraId="11525F9C">
            <w:pPr>
              <w:jc w:val="center"/>
              <w:rPr>
                <w:sz w:val="18"/>
                <w:szCs w:val="18"/>
              </w:rPr>
            </w:pPr>
            <w:r>
              <w:rPr>
                <w:rFonts w:hint="eastAsia"/>
                <w:sz w:val="18"/>
                <w:szCs w:val="18"/>
              </w:rPr>
              <w:t>0.007t/a</w:t>
            </w:r>
          </w:p>
        </w:tc>
      </w:tr>
      <w:tr w14:paraId="3A71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1C6B64B0">
            <w:pPr>
              <w:adjustRightInd w:val="0"/>
              <w:snapToGrid w:val="0"/>
              <w:jc w:val="center"/>
              <w:rPr>
                <w:bCs/>
                <w:sz w:val="18"/>
                <w:szCs w:val="18"/>
              </w:rPr>
            </w:pPr>
          </w:p>
        </w:tc>
        <w:tc>
          <w:tcPr>
            <w:tcW w:w="1368" w:type="pct"/>
            <w:vMerge w:val="continue"/>
            <w:vAlign w:val="center"/>
          </w:tcPr>
          <w:p w14:paraId="5F026CF5">
            <w:pPr>
              <w:adjustRightInd w:val="0"/>
              <w:snapToGrid w:val="0"/>
              <w:jc w:val="center"/>
              <w:rPr>
                <w:sz w:val="18"/>
                <w:szCs w:val="18"/>
              </w:rPr>
            </w:pPr>
          </w:p>
        </w:tc>
        <w:tc>
          <w:tcPr>
            <w:tcW w:w="1811" w:type="pct"/>
            <w:gridSpan w:val="2"/>
            <w:vAlign w:val="center"/>
          </w:tcPr>
          <w:p w14:paraId="7B1AD59B">
            <w:pPr>
              <w:jc w:val="center"/>
              <w:rPr>
                <w:sz w:val="18"/>
                <w:szCs w:val="18"/>
              </w:rPr>
            </w:pPr>
            <w:r>
              <w:rPr>
                <w:rFonts w:hint="eastAsia"/>
                <w:sz w:val="18"/>
                <w:szCs w:val="18"/>
              </w:rPr>
              <w:t>NOx</w:t>
            </w:r>
          </w:p>
        </w:tc>
        <w:tc>
          <w:tcPr>
            <w:tcW w:w="1287" w:type="pct"/>
          </w:tcPr>
          <w:p w14:paraId="4F819D02">
            <w:pPr>
              <w:jc w:val="center"/>
              <w:rPr>
                <w:sz w:val="18"/>
                <w:szCs w:val="18"/>
              </w:rPr>
            </w:pPr>
            <w:r>
              <w:rPr>
                <w:rFonts w:hint="eastAsia"/>
                <w:sz w:val="18"/>
                <w:szCs w:val="18"/>
              </w:rPr>
              <w:t>0.034t/a</w:t>
            </w:r>
          </w:p>
        </w:tc>
      </w:tr>
      <w:tr w14:paraId="52E9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jc w:val="center"/>
        </w:trPr>
        <w:tc>
          <w:tcPr>
            <w:tcW w:w="533" w:type="pct"/>
            <w:vMerge w:val="continue"/>
            <w:vAlign w:val="center"/>
          </w:tcPr>
          <w:p w14:paraId="25A7836A">
            <w:pPr>
              <w:adjustRightInd w:val="0"/>
              <w:snapToGrid w:val="0"/>
              <w:jc w:val="center"/>
              <w:rPr>
                <w:bCs/>
                <w:sz w:val="18"/>
                <w:szCs w:val="18"/>
              </w:rPr>
            </w:pPr>
          </w:p>
        </w:tc>
        <w:tc>
          <w:tcPr>
            <w:tcW w:w="1368" w:type="pct"/>
            <w:vMerge w:val="continue"/>
            <w:vAlign w:val="center"/>
          </w:tcPr>
          <w:p w14:paraId="26694B1B">
            <w:pPr>
              <w:adjustRightInd w:val="0"/>
              <w:snapToGrid w:val="0"/>
              <w:jc w:val="center"/>
              <w:rPr>
                <w:sz w:val="18"/>
                <w:szCs w:val="18"/>
              </w:rPr>
            </w:pPr>
          </w:p>
        </w:tc>
        <w:tc>
          <w:tcPr>
            <w:tcW w:w="1811" w:type="pct"/>
            <w:gridSpan w:val="2"/>
            <w:vAlign w:val="center"/>
          </w:tcPr>
          <w:p w14:paraId="30731D3B">
            <w:pPr>
              <w:jc w:val="center"/>
              <w:rPr>
                <w:sz w:val="18"/>
                <w:szCs w:val="18"/>
              </w:rPr>
            </w:pPr>
            <w:r>
              <w:rPr>
                <w:rFonts w:hint="eastAsia"/>
                <w:sz w:val="18"/>
                <w:szCs w:val="18"/>
              </w:rPr>
              <w:t>颗粒物</w:t>
            </w:r>
          </w:p>
        </w:tc>
        <w:tc>
          <w:tcPr>
            <w:tcW w:w="1287" w:type="pct"/>
          </w:tcPr>
          <w:p w14:paraId="4B3532C8">
            <w:pPr>
              <w:jc w:val="center"/>
              <w:rPr>
                <w:sz w:val="18"/>
                <w:szCs w:val="18"/>
              </w:rPr>
            </w:pPr>
            <w:r>
              <w:rPr>
                <w:rFonts w:hint="eastAsia"/>
                <w:sz w:val="18"/>
                <w:szCs w:val="18"/>
              </w:rPr>
              <w:t>1.155t/a</w:t>
            </w:r>
          </w:p>
        </w:tc>
      </w:tr>
      <w:tr w14:paraId="792A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735D9EC4">
            <w:pPr>
              <w:adjustRightInd w:val="0"/>
              <w:snapToGrid w:val="0"/>
              <w:jc w:val="center"/>
              <w:rPr>
                <w:bCs/>
                <w:sz w:val="18"/>
                <w:szCs w:val="18"/>
              </w:rPr>
            </w:pPr>
          </w:p>
        </w:tc>
        <w:tc>
          <w:tcPr>
            <w:tcW w:w="1368" w:type="pct"/>
            <w:vMerge w:val="continue"/>
            <w:vAlign w:val="center"/>
          </w:tcPr>
          <w:p w14:paraId="69A0BAB0">
            <w:pPr>
              <w:adjustRightInd w:val="0"/>
              <w:snapToGrid w:val="0"/>
              <w:jc w:val="center"/>
              <w:rPr>
                <w:sz w:val="18"/>
                <w:szCs w:val="18"/>
              </w:rPr>
            </w:pPr>
          </w:p>
        </w:tc>
        <w:tc>
          <w:tcPr>
            <w:tcW w:w="932" w:type="pct"/>
            <w:vMerge w:val="restart"/>
            <w:vAlign w:val="center"/>
          </w:tcPr>
          <w:p w14:paraId="5626EAF2">
            <w:pPr>
              <w:jc w:val="center"/>
              <w:rPr>
                <w:sz w:val="18"/>
                <w:szCs w:val="18"/>
              </w:rPr>
            </w:pPr>
            <w:r>
              <w:rPr>
                <w:rFonts w:hint="eastAsia"/>
                <w:sz w:val="18"/>
                <w:szCs w:val="18"/>
              </w:rPr>
              <w:t>VOCs</w:t>
            </w:r>
          </w:p>
        </w:tc>
        <w:tc>
          <w:tcPr>
            <w:tcW w:w="878" w:type="pct"/>
            <w:vAlign w:val="center"/>
          </w:tcPr>
          <w:p w14:paraId="2E102D2B">
            <w:pPr>
              <w:jc w:val="center"/>
              <w:rPr>
                <w:sz w:val="18"/>
                <w:szCs w:val="18"/>
              </w:rPr>
            </w:pPr>
            <w:r>
              <w:rPr>
                <w:rFonts w:hint="eastAsia"/>
                <w:sz w:val="18"/>
                <w:szCs w:val="18"/>
              </w:rPr>
              <w:t>非甲烷总烃（有组织）</w:t>
            </w:r>
          </w:p>
        </w:tc>
        <w:tc>
          <w:tcPr>
            <w:tcW w:w="1287" w:type="pct"/>
          </w:tcPr>
          <w:p w14:paraId="3DA189A3">
            <w:pPr>
              <w:jc w:val="center"/>
              <w:rPr>
                <w:sz w:val="18"/>
                <w:szCs w:val="18"/>
              </w:rPr>
            </w:pPr>
            <w:r>
              <w:rPr>
                <w:rFonts w:hint="eastAsia"/>
                <w:sz w:val="18"/>
                <w:szCs w:val="18"/>
              </w:rPr>
              <w:t>0.00216t/a</w:t>
            </w:r>
          </w:p>
        </w:tc>
      </w:tr>
      <w:tr w14:paraId="79A8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5BBBB6AA">
            <w:pPr>
              <w:adjustRightInd w:val="0"/>
              <w:snapToGrid w:val="0"/>
              <w:jc w:val="center"/>
              <w:rPr>
                <w:bCs/>
                <w:sz w:val="18"/>
                <w:szCs w:val="18"/>
              </w:rPr>
            </w:pPr>
          </w:p>
        </w:tc>
        <w:tc>
          <w:tcPr>
            <w:tcW w:w="1368" w:type="pct"/>
            <w:vMerge w:val="continue"/>
            <w:vAlign w:val="center"/>
          </w:tcPr>
          <w:p w14:paraId="4B5B7964">
            <w:pPr>
              <w:adjustRightInd w:val="0"/>
              <w:snapToGrid w:val="0"/>
              <w:jc w:val="center"/>
              <w:rPr>
                <w:sz w:val="18"/>
                <w:szCs w:val="18"/>
              </w:rPr>
            </w:pPr>
          </w:p>
        </w:tc>
        <w:tc>
          <w:tcPr>
            <w:tcW w:w="932" w:type="pct"/>
            <w:vMerge w:val="continue"/>
            <w:vAlign w:val="center"/>
          </w:tcPr>
          <w:p w14:paraId="0F4CBECF">
            <w:pPr>
              <w:jc w:val="center"/>
              <w:rPr>
                <w:sz w:val="18"/>
                <w:szCs w:val="18"/>
              </w:rPr>
            </w:pPr>
          </w:p>
        </w:tc>
        <w:tc>
          <w:tcPr>
            <w:tcW w:w="878" w:type="pct"/>
            <w:vAlign w:val="center"/>
          </w:tcPr>
          <w:p w14:paraId="0E40B7A3">
            <w:pPr>
              <w:jc w:val="center"/>
              <w:rPr>
                <w:sz w:val="18"/>
                <w:szCs w:val="18"/>
              </w:rPr>
            </w:pPr>
            <w:r>
              <w:rPr>
                <w:rFonts w:hint="eastAsia"/>
                <w:sz w:val="18"/>
                <w:szCs w:val="18"/>
              </w:rPr>
              <w:t>非甲烷总烃（无组织）</w:t>
            </w:r>
          </w:p>
        </w:tc>
        <w:tc>
          <w:tcPr>
            <w:tcW w:w="1287" w:type="pct"/>
          </w:tcPr>
          <w:p w14:paraId="63D190AD">
            <w:pPr>
              <w:jc w:val="center"/>
              <w:rPr>
                <w:sz w:val="18"/>
                <w:szCs w:val="18"/>
              </w:rPr>
            </w:pPr>
            <w:r>
              <w:rPr>
                <w:rFonts w:hint="eastAsia"/>
                <w:sz w:val="18"/>
                <w:szCs w:val="18"/>
              </w:rPr>
              <w:t>0.0024t/a</w:t>
            </w:r>
          </w:p>
        </w:tc>
      </w:tr>
      <w:tr w14:paraId="5DEE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40F9A9EB">
            <w:pPr>
              <w:adjustRightInd w:val="0"/>
              <w:snapToGrid w:val="0"/>
              <w:jc w:val="center"/>
              <w:rPr>
                <w:bCs/>
                <w:sz w:val="18"/>
                <w:szCs w:val="18"/>
              </w:rPr>
            </w:pPr>
          </w:p>
        </w:tc>
        <w:tc>
          <w:tcPr>
            <w:tcW w:w="1368" w:type="pct"/>
            <w:vMerge w:val="continue"/>
            <w:vAlign w:val="center"/>
          </w:tcPr>
          <w:p w14:paraId="44F88066">
            <w:pPr>
              <w:adjustRightInd w:val="0"/>
              <w:snapToGrid w:val="0"/>
              <w:jc w:val="center"/>
              <w:rPr>
                <w:sz w:val="18"/>
                <w:szCs w:val="18"/>
              </w:rPr>
            </w:pPr>
          </w:p>
        </w:tc>
        <w:tc>
          <w:tcPr>
            <w:tcW w:w="932" w:type="pct"/>
            <w:vMerge w:val="continue"/>
            <w:vAlign w:val="center"/>
          </w:tcPr>
          <w:p w14:paraId="0C62B5B4">
            <w:pPr>
              <w:jc w:val="center"/>
              <w:rPr>
                <w:sz w:val="18"/>
                <w:szCs w:val="18"/>
              </w:rPr>
            </w:pPr>
          </w:p>
        </w:tc>
        <w:tc>
          <w:tcPr>
            <w:tcW w:w="878" w:type="pct"/>
            <w:vAlign w:val="center"/>
          </w:tcPr>
          <w:p w14:paraId="41E17C67">
            <w:pPr>
              <w:jc w:val="center"/>
              <w:rPr>
                <w:sz w:val="18"/>
                <w:szCs w:val="18"/>
              </w:rPr>
            </w:pPr>
            <w:r>
              <w:rPr>
                <w:rFonts w:hint="eastAsia"/>
                <w:sz w:val="18"/>
                <w:szCs w:val="18"/>
              </w:rPr>
              <w:t>漆雾</w:t>
            </w:r>
          </w:p>
        </w:tc>
        <w:tc>
          <w:tcPr>
            <w:tcW w:w="1287" w:type="pct"/>
          </w:tcPr>
          <w:p w14:paraId="026E563C">
            <w:pPr>
              <w:jc w:val="center"/>
              <w:rPr>
                <w:sz w:val="18"/>
                <w:szCs w:val="18"/>
              </w:rPr>
            </w:pPr>
            <w:r>
              <w:rPr>
                <w:rFonts w:hint="eastAsia"/>
                <w:sz w:val="18"/>
                <w:szCs w:val="18"/>
              </w:rPr>
              <w:t>0.01t/a</w:t>
            </w:r>
          </w:p>
        </w:tc>
      </w:tr>
      <w:tr w14:paraId="0EFA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33389847">
            <w:pPr>
              <w:adjustRightInd w:val="0"/>
              <w:snapToGrid w:val="0"/>
              <w:jc w:val="center"/>
              <w:rPr>
                <w:bCs/>
                <w:sz w:val="18"/>
                <w:szCs w:val="18"/>
              </w:rPr>
            </w:pPr>
          </w:p>
        </w:tc>
        <w:tc>
          <w:tcPr>
            <w:tcW w:w="1368" w:type="pct"/>
            <w:vMerge w:val="continue"/>
            <w:vAlign w:val="center"/>
          </w:tcPr>
          <w:p w14:paraId="1D369F88">
            <w:pPr>
              <w:adjustRightInd w:val="0"/>
              <w:snapToGrid w:val="0"/>
              <w:jc w:val="center"/>
              <w:rPr>
                <w:sz w:val="18"/>
                <w:szCs w:val="18"/>
              </w:rPr>
            </w:pPr>
          </w:p>
        </w:tc>
        <w:tc>
          <w:tcPr>
            <w:tcW w:w="932" w:type="pct"/>
            <w:vMerge w:val="continue"/>
            <w:vAlign w:val="center"/>
          </w:tcPr>
          <w:p w14:paraId="5392DFAC">
            <w:pPr>
              <w:jc w:val="center"/>
              <w:rPr>
                <w:sz w:val="18"/>
                <w:szCs w:val="18"/>
              </w:rPr>
            </w:pPr>
          </w:p>
        </w:tc>
        <w:tc>
          <w:tcPr>
            <w:tcW w:w="878" w:type="pct"/>
            <w:vAlign w:val="center"/>
          </w:tcPr>
          <w:p w14:paraId="449BBD53">
            <w:pPr>
              <w:jc w:val="center"/>
              <w:rPr>
                <w:sz w:val="18"/>
                <w:szCs w:val="18"/>
              </w:rPr>
            </w:pPr>
            <w:r>
              <w:rPr>
                <w:rFonts w:hint="eastAsia"/>
                <w:sz w:val="18"/>
                <w:szCs w:val="18"/>
              </w:rPr>
              <w:t>醋酸乙烯酯（有组织）</w:t>
            </w:r>
          </w:p>
        </w:tc>
        <w:tc>
          <w:tcPr>
            <w:tcW w:w="1287" w:type="pct"/>
          </w:tcPr>
          <w:p w14:paraId="25BAEBF3">
            <w:pPr>
              <w:jc w:val="center"/>
              <w:rPr>
                <w:sz w:val="18"/>
                <w:szCs w:val="18"/>
              </w:rPr>
            </w:pPr>
            <w:r>
              <w:rPr>
                <w:rFonts w:hint="eastAsia"/>
                <w:sz w:val="18"/>
                <w:szCs w:val="18"/>
              </w:rPr>
              <w:t>0.312t/a</w:t>
            </w:r>
          </w:p>
        </w:tc>
      </w:tr>
      <w:tr w14:paraId="4080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3EA9FA95">
            <w:pPr>
              <w:adjustRightInd w:val="0"/>
              <w:snapToGrid w:val="0"/>
              <w:jc w:val="center"/>
              <w:rPr>
                <w:bCs/>
                <w:sz w:val="18"/>
                <w:szCs w:val="18"/>
              </w:rPr>
            </w:pPr>
          </w:p>
        </w:tc>
        <w:tc>
          <w:tcPr>
            <w:tcW w:w="1368" w:type="pct"/>
            <w:vMerge w:val="continue"/>
            <w:vAlign w:val="center"/>
          </w:tcPr>
          <w:p w14:paraId="19FEF781">
            <w:pPr>
              <w:adjustRightInd w:val="0"/>
              <w:snapToGrid w:val="0"/>
              <w:jc w:val="center"/>
              <w:rPr>
                <w:sz w:val="18"/>
                <w:szCs w:val="18"/>
              </w:rPr>
            </w:pPr>
          </w:p>
        </w:tc>
        <w:tc>
          <w:tcPr>
            <w:tcW w:w="932" w:type="pct"/>
            <w:vMerge w:val="continue"/>
            <w:vAlign w:val="center"/>
          </w:tcPr>
          <w:p w14:paraId="6569CD61">
            <w:pPr>
              <w:jc w:val="center"/>
              <w:rPr>
                <w:sz w:val="18"/>
                <w:szCs w:val="18"/>
              </w:rPr>
            </w:pPr>
          </w:p>
        </w:tc>
        <w:tc>
          <w:tcPr>
            <w:tcW w:w="878" w:type="pct"/>
            <w:vAlign w:val="center"/>
          </w:tcPr>
          <w:p w14:paraId="26F8E0F3">
            <w:pPr>
              <w:jc w:val="center"/>
              <w:rPr>
                <w:sz w:val="18"/>
                <w:szCs w:val="18"/>
              </w:rPr>
            </w:pPr>
            <w:r>
              <w:rPr>
                <w:rFonts w:hint="eastAsia"/>
                <w:sz w:val="18"/>
                <w:szCs w:val="18"/>
              </w:rPr>
              <w:t>醋酸乙烯酯（无组织）</w:t>
            </w:r>
          </w:p>
        </w:tc>
        <w:tc>
          <w:tcPr>
            <w:tcW w:w="1287" w:type="pct"/>
          </w:tcPr>
          <w:p w14:paraId="34DA9488">
            <w:pPr>
              <w:jc w:val="center"/>
              <w:rPr>
                <w:sz w:val="18"/>
                <w:szCs w:val="18"/>
              </w:rPr>
            </w:pPr>
            <w:r>
              <w:rPr>
                <w:rFonts w:hint="eastAsia"/>
                <w:sz w:val="18"/>
                <w:szCs w:val="18"/>
              </w:rPr>
              <w:t>0.078t/a</w:t>
            </w:r>
          </w:p>
        </w:tc>
      </w:tr>
      <w:tr w14:paraId="08C8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 w:type="pct"/>
            <w:vMerge w:val="continue"/>
            <w:vAlign w:val="center"/>
          </w:tcPr>
          <w:p w14:paraId="2FD5852C">
            <w:pPr>
              <w:adjustRightInd w:val="0"/>
              <w:snapToGrid w:val="0"/>
              <w:jc w:val="center"/>
              <w:rPr>
                <w:bCs/>
                <w:sz w:val="18"/>
                <w:szCs w:val="18"/>
              </w:rPr>
            </w:pPr>
          </w:p>
        </w:tc>
        <w:tc>
          <w:tcPr>
            <w:tcW w:w="1368" w:type="pct"/>
            <w:vMerge w:val="continue"/>
            <w:vAlign w:val="center"/>
          </w:tcPr>
          <w:p w14:paraId="2D62B603">
            <w:pPr>
              <w:adjustRightInd w:val="0"/>
              <w:snapToGrid w:val="0"/>
              <w:jc w:val="center"/>
              <w:rPr>
                <w:sz w:val="18"/>
                <w:szCs w:val="18"/>
              </w:rPr>
            </w:pPr>
          </w:p>
        </w:tc>
        <w:tc>
          <w:tcPr>
            <w:tcW w:w="932" w:type="pct"/>
            <w:vMerge w:val="continue"/>
            <w:vAlign w:val="center"/>
          </w:tcPr>
          <w:p w14:paraId="3EED6070">
            <w:pPr>
              <w:jc w:val="center"/>
              <w:rPr>
                <w:sz w:val="18"/>
                <w:szCs w:val="18"/>
              </w:rPr>
            </w:pPr>
          </w:p>
        </w:tc>
        <w:tc>
          <w:tcPr>
            <w:tcW w:w="878" w:type="pct"/>
            <w:vAlign w:val="center"/>
          </w:tcPr>
          <w:p w14:paraId="3399903D">
            <w:pPr>
              <w:jc w:val="center"/>
              <w:rPr>
                <w:sz w:val="18"/>
                <w:szCs w:val="18"/>
              </w:rPr>
            </w:pPr>
            <w:r>
              <w:rPr>
                <w:rFonts w:hint="eastAsia"/>
                <w:sz w:val="18"/>
                <w:szCs w:val="18"/>
              </w:rPr>
              <w:t>合计</w:t>
            </w:r>
          </w:p>
        </w:tc>
        <w:tc>
          <w:tcPr>
            <w:tcW w:w="1287" w:type="pct"/>
          </w:tcPr>
          <w:p w14:paraId="253F4F0D">
            <w:pPr>
              <w:jc w:val="center"/>
              <w:rPr>
                <w:sz w:val="18"/>
                <w:szCs w:val="18"/>
              </w:rPr>
            </w:pPr>
            <w:r>
              <w:rPr>
                <w:rFonts w:hint="eastAsia"/>
                <w:sz w:val="18"/>
                <w:szCs w:val="18"/>
              </w:rPr>
              <w:t>0.40456（合计）</w:t>
            </w:r>
          </w:p>
        </w:tc>
      </w:tr>
    </w:tbl>
    <w:p w14:paraId="0AF89559">
      <w:pPr>
        <w:pStyle w:val="122"/>
        <w:ind w:firstLine="0" w:firstLineChars="0"/>
        <w:outlineLvl w:val="1"/>
        <w:rPr>
          <w:b/>
        </w:rPr>
      </w:pPr>
      <w:bookmarkStart w:id="37" w:name="_Toc17619"/>
      <w:r>
        <w:rPr>
          <w:b/>
        </w:rPr>
        <w:t>3</w:t>
      </w:r>
      <w:r>
        <w:rPr>
          <w:rFonts w:hint="eastAsia"/>
          <w:b/>
        </w:rPr>
        <w:t>、总量控制指标</w:t>
      </w:r>
      <w:bookmarkEnd w:id="37"/>
    </w:p>
    <w:p w14:paraId="7D86246F">
      <w:pPr>
        <w:adjustRightInd w:val="0"/>
        <w:snapToGrid w:val="0"/>
        <w:spacing w:line="360" w:lineRule="auto"/>
        <w:ind w:firstLine="480" w:firstLineChars="200"/>
        <w:rPr>
          <w:b/>
          <w:sz w:val="24"/>
          <w:szCs w:val="24"/>
        </w:rPr>
      </w:pPr>
      <w:r>
        <w:rPr>
          <w:b/>
          <w:sz w:val="24"/>
          <w:szCs w:val="24"/>
        </w:rPr>
        <w:t>3.1</w:t>
      </w:r>
      <w:r>
        <w:rPr>
          <w:rFonts w:hint="eastAsia"/>
          <w:b/>
          <w:sz w:val="24"/>
          <w:szCs w:val="24"/>
        </w:rPr>
        <w:t>污染物总量控制指标</w:t>
      </w:r>
    </w:p>
    <w:p w14:paraId="1E30C3DE">
      <w:pPr>
        <w:adjustRightInd w:val="0"/>
        <w:snapToGrid w:val="0"/>
        <w:spacing w:line="360" w:lineRule="auto"/>
        <w:ind w:firstLine="480" w:firstLineChars="200"/>
        <w:rPr>
          <w:sz w:val="24"/>
          <w:szCs w:val="24"/>
        </w:rPr>
      </w:pPr>
      <w:r>
        <w:rPr>
          <w:sz w:val="24"/>
          <w:szCs w:val="24"/>
        </w:rPr>
        <w:t>根据现行的环保管理要求，污染物排放总量控制仍是我国现阶段强有力的环保管理措施，主要总量控制指标为：二氧化硫（SO</w:t>
      </w:r>
      <w:r>
        <w:rPr>
          <w:sz w:val="24"/>
          <w:szCs w:val="24"/>
          <w:vertAlign w:val="subscript"/>
        </w:rPr>
        <w:t>2</w:t>
      </w:r>
      <w:r>
        <w:rPr>
          <w:sz w:val="24"/>
          <w:szCs w:val="24"/>
        </w:rPr>
        <w:t>）、化学需氧量（COD）、氨氮（NH</w:t>
      </w:r>
      <w:r>
        <w:rPr>
          <w:sz w:val="24"/>
          <w:szCs w:val="24"/>
          <w:vertAlign w:val="subscript"/>
        </w:rPr>
        <w:t>3</w:t>
      </w:r>
      <w:r>
        <w:rPr>
          <w:sz w:val="24"/>
          <w:szCs w:val="24"/>
        </w:rPr>
        <w:t>-N）和氮氧化物（NO</w:t>
      </w:r>
      <w:r>
        <w:rPr>
          <w:sz w:val="24"/>
          <w:szCs w:val="24"/>
          <w:vertAlign w:val="subscript"/>
        </w:rPr>
        <w:t>x</w:t>
      </w:r>
      <w:r>
        <w:rPr>
          <w:sz w:val="24"/>
          <w:szCs w:val="24"/>
        </w:rPr>
        <w:t>）及工业烟粉尘、重金属、挥发性有机物（VOCs）。</w:t>
      </w:r>
    </w:p>
    <w:p w14:paraId="4FD6D3C5">
      <w:pPr>
        <w:adjustRightInd w:val="0"/>
        <w:snapToGrid w:val="0"/>
        <w:spacing w:line="360" w:lineRule="auto"/>
        <w:ind w:firstLine="480" w:firstLineChars="200"/>
        <w:rPr>
          <w:sz w:val="24"/>
          <w:szCs w:val="24"/>
        </w:rPr>
      </w:pPr>
      <w:r>
        <w:rPr>
          <w:sz w:val="24"/>
          <w:szCs w:val="24"/>
        </w:rPr>
        <w:t>结合本项目的实际情况分析，本项目</w:t>
      </w:r>
      <w:r>
        <w:rPr>
          <w:rFonts w:hint="eastAsia"/>
          <w:sz w:val="24"/>
          <w:szCs w:val="24"/>
        </w:rPr>
        <w:t>涉及</w:t>
      </w:r>
      <w:r>
        <w:rPr>
          <w:sz w:val="24"/>
          <w:szCs w:val="24"/>
        </w:rPr>
        <w:t>被纳入总量控制指标的有化学需氧量（COD）、氨氮（NH</w:t>
      </w:r>
      <w:r>
        <w:rPr>
          <w:sz w:val="24"/>
          <w:szCs w:val="24"/>
          <w:vertAlign w:val="subscript"/>
        </w:rPr>
        <w:t>3</w:t>
      </w:r>
      <w:r>
        <w:rPr>
          <w:sz w:val="24"/>
          <w:szCs w:val="24"/>
        </w:rPr>
        <w:t>-N）</w:t>
      </w:r>
      <w:r>
        <w:rPr>
          <w:rFonts w:hint="eastAsia"/>
          <w:sz w:val="24"/>
          <w:szCs w:val="24"/>
        </w:rPr>
        <w:t>和</w:t>
      </w:r>
      <w:r>
        <w:rPr>
          <w:sz w:val="24"/>
          <w:szCs w:val="24"/>
        </w:rPr>
        <w:t>挥发性有机物</w:t>
      </w:r>
      <w:r>
        <w:rPr>
          <w:rFonts w:hint="eastAsia"/>
          <w:sz w:val="24"/>
          <w:szCs w:val="24"/>
        </w:rPr>
        <w:t>（</w:t>
      </w:r>
      <w:r>
        <w:rPr>
          <w:sz w:val="24"/>
          <w:szCs w:val="24"/>
        </w:rPr>
        <w:t>VOCs</w:t>
      </w:r>
      <w:r>
        <w:rPr>
          <w:rFonts w:hint="eastAsia"/>
          <w:sz w:val="24"/>
          <w:szCs w:val="24"/>
        </w:rPr>
        <w:t>）</w:t>
      </w:r>
      <w:r>
        <w:rPr>
          <w:sz w:val="24"/>
          <w:szCs w:val="24"/>
        </w:rPr>
        <w:t>。</w:t>
      </w:r>
    </w:p>
    <w:p w14:paraId="7F870846">
      <w:pPr>
        <w:pStyle w:val="116"/>
        <w:numPr>
          <w:ilvl w:val="0"/>
          <w:numId w:val="22"/>
        </w:numPr>
        <w:spacing w:before="0" w:beforeLines="0"/>
        <w:ind w:left="0"/>
      </w:pPr>
      <w:r>
        <w:rPr>
          <w:rFonts w:hint="eastAsia"/>
          <w:lang w:val="en-US"/>
        </w:rPr>
        <w:t>本项目新增</w:t>
      </w:r>
      <w:r>
        <w:t>污染物排放产排情况</w:t>
      </w:r>
      <w:r>
        <w:rPr>
          <w:rFonts w:hint="eastAsia"/>
        </w:rPr>
        <w:t xml:space="preserve">   </w:t>
      </w:r>
      <w: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4"/>
        <w:gridCol w:w="1785"/>
        <w:gridCol w:w="1316"/>
        <w:gridCol w:w="1704"/>
      </w:tblGrid>
      <w:tr w14:paraId="1833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7A557237">
            <w:pPr>
              <w:widowControl/>
              <w:adjustRightInd w:val="0"/>
              <w:snapToGrid w:val="0"/>
              <w:jc w:val="center"/>
              <w:rPr>
                <w:kern w:val="0"/>
                <w:sz w:val="18"/>
              </w:rPr>
            </w:pPr>
            <w:r>
              <w:rPr>
                <w:kern w:val="0"/>
                <w:sz w:val="18"/>
              </w:rPr>
              <w:t>项目</w:t>
            </w:r>
          </w:p>
        </w:tc>
        <w:tc>
          <w:tcPr>
            <w:tcW w:w="1674" w:type="pct"/>
            <w:noWrap/>
            <w:tcMar>
              <w:top w:w="0" w:type="dxa"/>
              <w:left w:w="57" w:type="dxa"/>
              <w:bottom w:w="0" w:type="dxa"/>
              <w:right w:w="57" w:type="dxa"/>
            </w:tcMar>
            <w:vAlign w:val="center"/>
          </w:tcPr>
          <w:p w14:paraId="3B0BB3DF">
            <w:pPr>
              <w:widowControl/>
              <w:jc w:val="center"/>
              <w:rPr>
                <w:sz w:val="18"/>
              </w:rPr>
            </w:pPr>
            <w:r>
              <w:rPr>
                <w:kern w:val="0"/>
                <w:sz w:val="18"/>
              </w:rPr>
              <w:t>污染物</w:t>
            </w:r>
          </w:p>
        </w:tc>
        <w:tc>
          <w:tcPr>
            <w:tcW w:w="924" w:type="pct"/>
            <w:vAlign w:val="center"/>
          </w:tcPr>
          <w:p w14:paraId="4B0050A5">
            <w:pPr>
              <w:jc w:val="center"/>
              <w:rPr>
                <w:sz w:val="18"/>
              </w:rPr>
            </w:pPr>
            <w:r>
              <w:rPr>
                <w:sz w:val="18"/>
              </w:rPr>
              <w:t>产生量</w:t>
            </w:r>
          </w:p>
        </w:tc>
        <w:tc>
          <w:tcPr>
            <w:tcW w:w="681" w:type="pct"/>
            <w:vAlign w:val="center"/>
          </w:tcPr>
          <w:p w14:paraId="6622B397">
            <w:pPr>
              <w:jc w:val="center"/>
              <w:rPr>
                <w:sz w:val="18"/>
              </w:rPr>
            </w:pPr>
            <w:r>
              <w:rPr>
                <w:sz w:val="18"/>
              </w:rPr>
              <w:t>削减量</w:t>
            </w:r>
          </w:p>
        </w:tc>
        <w:tc>
          <w:tcPr>
            <w:tcW w:w="882" w:type="pct"/>
            <w:tcMar>
              <w:top w:w="0" w:type="dxa"/>
              <w:left w:w="57" w:type="dxa"/>
              <w:bottom w:w="0" w:type="dxa"/>
              <w:right w:w="57" w:type="dxa"/>
            </w:tcMar>
            <w:vAlign w:val="center"/>
          </w:tcPr>
          <w:p w14:paraId="5C50860A">
            <w:pPr>
              <w:jc w:val="center"/>
              <w:rPr>
                <w:sz w:val="18"/>
              </w:rPr>
            </w:pPr>
            <w:r>
              <w:rPr>
                <w:sz w:val="18"/>
              </w:rPr>
              <w:t>排放量</w:t>
            </w:r>
          </w:p>
        </w:tc>
      </w:tr>
      <w:tr w14:paraId="27B6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tcMar>
              <w:top w:w="0" w:type="dxa"/>
              <w:left w:w="57" w:type="dxa"/>
              <w:bottom w:w="0" w:type="dxa"/>
              <w:right w:w="57" w:type="dxa"/>
            </w:tcMar>
            <w:vAlign w:val="center"/>
          </w:tcPr>
          <w:p w14:paraId="7A8CC949">
            <w:pPr>
              <w:widowControl/>
              <w:adjustRightInd w:val="0"/>
              <w:snapToGrid w:val="0"/>
              <w:jc w:val="center"/>
              <w:rPr>
                <w:kern w:val="0"/>
                <w:sz w:val="18"/>
              </w:rPr>
            </w:pPr>
            <w:r>
              <w:rPr>
                <w:kern w:val="0"/>
                <w:sz w:val="18"/>
              </w:rPr>
              <w:t>废气</w:t>
            </w:r>
          </w:p>
        </w:tc>
        <w:tc>
          <w:tcPr>
            <w:tcW w:w="1674" w:type="pct"/>
            <w:shd w:val="clear" w:color="auto" w:fill="auto"/>
            <w:tcMar>
              <w:top w:w="0" w:type="dxa"/>
              <w:left w:w="57" w:type="dxa"/>
              <w:bottom w:w="0" w:type="dxa"/>
              <w:right w:w="57" w:type="dxa"/>
            </w:tcMar>
            <w:vAlign w:val="center"/>
          </w:tcPr>
          <w:p w14:paraId="0612FFD7">
            <w:pPr>
              <w:jc w:val="center"/>
              <w:rPr>
                <w:sz w:val="18"/>
              </w:rPr>
            </w:pPr>
            <w:r>
              <w:rPr>
                <w:sz w:val="18"/>
              </w:rPr>
              <w:t>VOCs</w:t>
            </w:r>
          </w:p>
        </w:tc>
        <w:tc>
          <w:tcPr>
            <w:tcW w:w="924" w:type="pct"/>
            <w:shd w:val="clear" w:color="auto" w:fill="auto"/>
            <w:vAlign w:val="center"/>
          </w:tcPr>
          <w:p w14:paraId="21ED9A92">
            <w:pPr>
              <w:jc w:val="center"/>
              <w:rPr>
                <w:sz w:val="18"/>
              </w:rPr>
            </w:pPr>
            <w:r>
              <w:rPr>
                <w:rFonts w:hint="eastAsia"/>
                <w:sz w:val="18"/>
              </w:rPr>
              <w:t>1.819</w:t>
            </w:r>
          </w:p>
        </w:tc>
        <w:tc>
          <w:tcPr>
            <w:tcW w:w="681" w:type="pct"/>
            <w:shd w:val="clear" w:color="auto" w:fill="auto"/>
            <w:vAlign w:val="center"/>
          </w:tcPr>
          <w:p w14:paraId="334FA71C">
            <w:pPr>
              <w:widowControl/>
              <w:jc w:val="center"/>
              <w:rPr>
                <w:sz w:val="18"/>
              </w:rPr>
            </w:pPr>
            <w:r>
              <w:rPr>
                <w:rFonts w:hint="eastAsia"/>
                <w:sz w:val="18"/>
              </w:rPr>
              <w:t>1.446</w:t>
            </w:r>
          </w:p>
        </w:tc>
        <w:tc>
          <w:tcPr>
            <w:tcW w:w="882" w:type="pct"/>
            <w:shd w:val="clear" w:color="auto" w:fill="auto"/>
            <w:noWrap/>
            <w:tcMar>
              <w:top w:w="0" w:type="dxa"/>
              <w:left w:w="57" w:type="dxa"/>
              <w:bottom w:w="0" w:type="dxa"/>
              <w:right w:w="57" w:type="dxa"/>
            </w:tcMar>
            <w:vAlign w:val="center"/>
          </w:tcPr>
          <w:p w14:paraId="11CAAF5F">
            <w:pPr>
              <w:jc w:val="center"/>
              <w:rPr>
                <w:sz w:val="18"/>
              </w:rPr>
            </w:pPr>
            <w:r>
              <w:rPr>
                <w:rFonts w:hint="eastAsia"/>
                <w:sz w:val="18"/>
              </w:rPr>
              <w:t>0.373</w:t>
            </w:r>
          </w:p>
        </w:tc>
      </w:tr>
      <w:tr w14:paraId="724C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restart"/>
            <w:tcMar>
              <w:top w:w="0" w:type="dxa"/>
              <w:left w:w="57" w:type="dxa"/>
              <w:bottom w:w="0" w:type="dxa"/>
              <w:right w:w="57" w:type="dxa"/>
            </w:tcMar>
            <w:vAlign w:val="center"/>
          </w:tcPr>
          <w:p w14:paraId="214A4462">
            <w:pPr>
              <w:widowControl/>
              <w:adjustRightInd w:val="0"/>
              <w:snapToGrid w:val="0"/>
              <w:jc w:val="center"/>
              <w:rPr>
                <w:kern w:val="0"/>
                <w:sz w:val="18"/>
              </w:rPr>
            </w:pPr>
            <w:r>
              <w:rPr>
                <w:rFonts w:hint="eastAsia"/>
                <w:kern w:val="0"/>
                <w:sz w:val="18"/>
              </w:rPr>
              <w:t>废水</w:t>
            </w:r>
          </w:p>
        </w:tc>
        <w:tc>
          <w:tcPr>
            <w:tcW w:w="1674" w:type="pct"/>
            <w:shd w:val="clear" w:color="auto" w:fill="auto"/>
            <w:tcMar>
              <w:top w:w="0" w:type="dxa"/>
              <w:left w:w="57" w:type="dxa"/>
              <w:bottom w:w="0" w:type="dxa"/>
              <w:right w:w="57" w:type="dxa"/>
            </w:tcMar>
            <w:vAlign w:val="center"/>
          </w:tcPr>
          <w:p w14:paraId="392E31FA">
            <w:pPr>
              <w:jc w:val="center"/>
              <w:rPr>
                <w:sz w:val="18"/>
              </w:rPr>
            </w:pPr>
            <w:r>
              <w:rPr>
                <w:rFonts w:hint="eastAsia"/>
                <w:sz w:val="18"/>
              </w:rPr>
              <w:t>废水量</w:t>
            </w:r>
          </w:p>
        </w:tc>
        <w:tc>
          <w:tcPr>
            <w:tcW w:w="924" w:type="pct"/>
            <w:shd w:val="clear" w:color="auto" w:fill="auto"/>
            <w:vAlign w:val="center"/>
          </w:tcPr>
          <w:p w14:paraId="3C401D83">
            <w:pPr>
              <w:jc w:val="center"/>
              <w:rPr>
                <w:sz w:val="18"/>
              </w:rPr>
            </w:pPr>
            <w:r>
              <w:rPr>
                <w:rFonts w:hint="eastAsia"/>
                <w:sz w:val="18"/>
              </w:rPr>
              <w:t>330.75</w:t>
            </w:r>
          </w:p>
        </w:tc>
        <w:tc>
          <w:tcPr>
            <w:tcW w:w="681" w:type="pct"/>
            <w:shd w:val="clear" w:color="auto" w:fill="auto"/>
            <w:vAlign w:val="center"/>
          </w:tcPr>
          <w:p w14:paraId="02B8EE54">
            <w:pPr>
              <w:widowControl/>
              <w:jc w:val="center"/>
              <w:rPr>
                <w:sz w:val="18"/>
              </w:rPr>
            </w:pPr>
            <w:r>
              <w:rPr>
                <w:rFonts w:hint="eastAsia"/>
                <w:sz w:val="18"/>
              </w:rPr>
              <w:t>0</w:t>
            </w:r>
          </w:p>
        </w:tc>
        <w:tc>
          <w:tcPr>
            <w:tcW w:w="882" w:type="pct"/>
            <w:shd w:val="clear" w:color="auto" w:fill="auto"/>
            <w:noWrap/>
            <w:tcMar>
              <w:top w:w="0" w:type="dxa"/>
              <w:left w:w="57" w:type="dxa"/>
              <w:bottom w:w="0" w:type="dxa"/>
              <w:right w:w="57" w:type="dxa"/>
            </w:tcMar>
            <w:vAlign w:val="center"/>
          </w:tcPr>
          <w:p w14:paraId="0B9BC7CA">
            <w:pPr>
              <w:jc w:val="center"/>
              <w:rPr>
                <w:sz w:val="18"/>
              </w:rPr>
            </w:pPr>
            <w:r>
              <w:rPr>
                <w:rFonts w:hint="eastAsia"/>
                <w:sz w:val="18"/>
              </w:rPr>
              <w:t>330.75</w:t>
            </w:r>
          </w:p>
        </w:tc>
      </w:tr>
      <w:tr w14:paraId="20FB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70F9ECEC">
            <w:pPr>
              <w:widowControl/>
              <w:adjustRightInd w:val="0"/>
              <w:snapToGrid w:val="0"/>
              <w:jc w:val="center"/>
              <w:rPr>
                <w:kern w:val="0"/>
                <w:sz w:val="18"/>
              </w:rPr>
            </w:pPr>
          </w:p>
        </w:tc>
        <w:tc>
          <w:tcPr>
            <w:tcW w:w="1674" w:type="pct"/>
            <w:shd w:val="clear" w:color="auto" w:fill="auto"/>
            <w:tcMar>
              <w:top w:w="0" w:type="dxa"/>
              <w:left w:w="57" w:type="dxa"/>
              <w:bottom w:w="0" w:type="dxa"/>
              <w:right w:w="57" w:type="dxa"/>
            </w:tcMar>
            <w:vAlign w:val="center"/>
          </w:tcPr>
          <w:p w14:paraId="3F031D16">
            <w:pPr>
              <w:jc w:val="center"/>
              <w:rPr>
                <w:sz w:val="18"/>
              </w:rPr>
            </w:pPr>
            <w:r>
              <w:rPr>
                <w:rFonts w:hint="eastAsia"/>
                <w:sz w:val="18"/>
              </w:rPr>
              <w:t>COD</w:t>
            </w:r>
          </w:p>
        </w:tc>
        <w:tc>
          <w:tcPr>
            <w:tcW w:w="924" w:type="pct"/>
            <w:shd w:val="clear" w:color="auto" w:fill="auto"/>
            <w:vAlign w:val="center"/>
          </w:tcPr>
          <w:p w14:paraId="757F9880">
            <w:pPr>
              <w:jc w:val="center"/>
              <w:rPr>
                <w:sz w:val="18"/>
              </w:rPr>
            </w:pPr>
            <w:r>
              <w:rPr>
                <w:rFonts w:hint="eastAsia"/>
                <w:sz w:val="18"/>
              </w:rPr>
              <w:t>0.009</w:t>
            </w:r>
          </w:p>
        </w:tc>
        <w:tc>
          <w:tcPr>
            <w:tcW w:w="681" w:type="pct"/>
            <w:shd w:val="clear" w:color="auto" w:fill="auto"/>
            <w:vAlign w:val="center"/>
          </w:tcPr>
          <w:p w14:paraId="3B0A5997">
            <w:pPr>
              <w:widowControl/>
              <w:jc w:val="center"/>
              <w:rPr>
                <w:sz w:val="18"/>
              </w:rPr>
            </w:pPr>
            <w:r>
              <w:rPr>
                <w:rFonts w:hint="eastAsia"/>
                <w:sz w:val="18"/>
              </w:rPr>
              <w:t>0</w:t>
            </w:r>
          </w:p>
        </w:tc>
        <w:tc>
          <w:tcPr>
            <w:tcW w:w="882" w:type="pct"/>
            <w:shd w:val="clear" w:color="auto" w:fill="auto"/>
            <w:noWrap/>
            <w:tcMar>
              <w:top w:w="0" w:type="dxa"/>
              <w:left w:w="57" w:type="dxa"/>
              <w:bottom w:w="0" w:type="dxa"/>
              <w:right w:w="57" w:type="dxa"/>
            </w:tcMar>
            <w:vAlign w:val="center"/>
          </w:tcPr>
          <w:p w14:paraId="171BCFB3">
            <w:pPr>
              <w:jc w:val="center"/>
              <w:rPr>
                <w:sz w:val="18"/>
              </w:rPr>
            </w:pPr>
            <w:r>
              <w:rPr>
                <w:rFonts w:hint="eastAsia"/>
                <w:sz w:val="18"/>
              </w:rPr>
              <w:t>0.003</w:t>
            </w:r>
          </w:p>
        </w:tc>
      </w:tr>
      <w:tr w14:paraId="2F50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72CF09A1">
            <w:pPr>
              <w:widowControl/>
              <w:adjustRightInd w:val="0"/>
              <w:snapToGrid w:val="0"/>
              <w:jc w:val="center"/>
              <w:rPr>
                <w:kern w:val="0"/>
                <w:sz w:val="18"/>
              </w:rPr>
            </w:pPr>
          </w:p>
        </w:tc>
        <w:tc>
          <w:tcPr>
            <w:tcW w:w="1674" w:type="pct"/>
            <w:shd w:val="clear" w:color="auto" w:fill="auto"/>
            <w:tcMar>
              <w:top w:w="0" w:type="dxa"/>
              <w:left w:w="57" w:type="dxa"/>
              <w:bottom w:w="0" w:type="dxa"/>
              <w:right w:w="57" w:type="dxa"/>
            </w:tcMar>
            <w:vAlign w:val="center"/>
          </w:tcPr>
          <w:p w14:paraId="0BB15A15">
            <w:pPr>
              <w:jc w:val="center"/>
              <w:rPr>
                <w:sz w:val="18"/>
              </w:rPr>
            </w:pPr>
            <w:r>
              <w:rPr>
                <w:rFonts w:hint="eastAsia"/>
                <w:sz w:val="18"/>
              </w:rPr>
              <w:t>NH</w:t>
            </w:r>
            <w:r>
              <w:rPr>
                <w:rFonts w:hint="eastAsia"/>
                <w:sz w:val="18"/>
                <w:vertAlign w:val="subscript"/>
              </w:rPr>
              <w:t>3</w:t>
            </w:r>
            <w:r>
              <w:rPr>
                <w:rFonts w:hint="eastAsia"/>
                <w:sz w:val="18"/>
              </w:rPr>
              <w:t>-N</w:t>
            </w:r>
          </w:p>
        </w:tc>
        <w:tc>
          <w:tcPr>
            <w:tcW w:w="924" w:type="pct"/>
            <w:shd w:val="clear" w:color="auto" w:fill="auto"/>
            <w:vAlign w:val="center"/>
          </w:tcPr>
          <w:p w14:paraId="2DD97D05">
            <w:pPr>
              <w:jc w:val="center"/>
              <w:rPr>
                <w:sz w:val="18"/>
              </w:rPr>
            </w:pPr>
            <w:r>
              <w:rPr>
                <w:rFonts w:hint="eastAsia"/>
                <w:sz w:val="18"/>
              </w:rPr>
              <w:t>/</w:t>
            </w:r>
          </w:p>
        </w:tc>
        <w:tc>
          <w:tcPr>
            <w:tcW w:w="681" w:type="pct"/>
            <w:shd w:val="clear" w:color="auto" w:fill="auto"/>
            <w:vAlign w:val="center"/>
          </w:tcPr>
          <w:p w14:paraId="0B9DF4CC">
            <w:pPr>
              <w:widowControl/>
              <w:jc w:val="center"/>
              <w:rPr>
                <w:sz w:val="18"/>
              </w:rPr>
            </w:pPr>
            <w:r>
              <w:rPr>
                <w:rFonts w:hint="eastAsia"/>
                <w:sz w:val="18"/>
              </w:rPr>
              <w:t>/</w:t>
            </w:r>
          </w:p>
        </w:tc>
        <w:tc>
          <w:tcPr>
            <w:tcW w:w="882" w:type="pct"/>
            <w:shd w:val="clear" w:color="auto" w:fill="auto"/>
            <w:noWrap/>
            <w:tcMar>
              <w:top w:w="0" w:type="dxa"/>
              <w:left w:w="57" w:type="dxa"/>
              <w:bottom w:w="0" w:type="dxa"/>
              <w:right w:w="57" w:type="dxa"/>
            </w:tcMar>
            <w:vAlign w:val="center"/>
          </w:tcPr>
          <w:p w14:paraId="45C4F0A1">
            <w:pPr>
              <w:jc w:val="center"/>
              <w:rPr>
                <w:sz w:val="18"/>
              </w:rPr>
            </w:pPr>
            <w:r>
              <w:rPr>
                <w:rFonts w:hint="eastAsia"/>
                <w:sz w:val="18"/>
              </w:rPr>
              <w:t>0.0001</w:t>
            </w:r>
          </w:p>
        </w:tc>
      </w:tr>
    </w:tbl>
    <w:p w14:paraId="30A8935F">
      <w:pPr>
        <w:adjustRightInd w:val="0"/>
        <w:snapToGrid w:val="0"/>
        <w:spacing w:line="360" w:lineRule="auto"/>
        <w:ind w:firstLine="480" w:firstLineChars="200"/>
        <w:rPr>
          <w:sz w:val="24"/>
          <w:szCs w:val="24"/>
        </w:rPr>
      </w:pPr>
      <w:r>
        <w:rPr>
          <w:sz w:val="24"/>
          <w:szCs w:val="24"/>
        </w:rPr>
        <w:t>本项目实施后，</w:t>
      </w:r>
      <w:r>
        <w:rPr>
          <w:rFonts w:hint="eastAsia"/>
          <w:sz w:val="24"/>
          <w:szCs w:val="24"/>
        </w:rPr>
        <w:t>全厂污染物COD排放量0.013t/a，氨氮（NH</w:t>
      </w:r>
      <w:r>
        <w:rPr>
          <w:rFonts w:hint="eastAsia"/>
          <w:sz w:val="24"/>
          <w:szCs w:val="24"/>
          <w:vertAlign w:val="subscript"/>
        </w:rPr>
        <w:t>3</w:t>
      </w:r>
      <w:r>
        <w:rPr>
          <w:rFonts w:hint="eastAsia"/>
          <w:sz w:val="24"/>
          <w:szCs w:val="24"/>
        </w:rPr>
        <w:t>-N）排放量0.001t/a，挥发性有机物（</w:t>
      </w:r>
      <w:r>
        <w:rPr>
          <w:sz w:val="24"/>
          <w:szCs w:val="24"/>
        </w:rPr>
        <w:t>VOCs</w:t>
      </w:r>
      <w:r>
        <w:rPr>
          <w:rFonts w:hint="eastAsia"/>
          <w:sz w:val="24"/>
          <w:szCs w:val="24"/>
        </w:rPr>
        <w:t>）</w:t>
      </w:r>
      <w:r>
        <w:rPr>
          <w:sz w:val="24"/>
          <w:szCs w:val="24"/>
        </w:rPr>
        <w:t>排放量</w:t>
      </w:r>
      <w:r>
        <w:rPr>
          <w:rFonts w:hint="eastAsia"/>
          <w:sz w:val="24"/>
          <w:szCs w:val="24"/>
        </w:rPr>
        <w:t>0.373</w:t>
      </w:r>
      <w:r>
        <w:rPr>
          <w:sz w:val="24"/>
          <w:szCs w:val="24"/>
        </w:rPr>
        <w:t>t/a。</w:t>
      </w:r>
    </w:p>
    <w:p w14:paraId="4E2A6E97">
      <w:pPr>
        <w:adjustRightInd w:val="0"/>
        <w:snapToGrid w:val="0"/>
        <w:spacing w:line="360" w:lineRule="auto"/>
        <w:ind w:firstLine="480" w:firstLineChars="200"/>
        <w:rPr>
          <w:b/>
          <w:sz w:val="24"/>
          <w:szCs w:val="24"/>
        </w:rPr>
      </w:pPr>
      <w:r>
        <w:rPr>
          <w:b/>
          <w:sz w:val="24"/>
          <w:szCs w:val="24"/>
        </w:rPr>
        <w:t>3.2总量平衡方案</w:t>
      </w:r>
    </w:p>
    <w:p w14:paraId="4CE170D8">
      <w:pPr>
        <w:adjustRightInd w:val="0"/>
        <w:snapToGrid w:val="0"/>
        <w:spacing w:line="360" w:lineRule="auto"/>
        <w:ind w:firstLine="480" w:firstLineChars="200"/>
        <w:rPr>
          <w:sz w:val="24"/>
          <w:szCs w:val="24"/>
        </w:rPr>
      </w:pPr>
      <w:r>
        <w:rPr>
          <w:sz w:val="24"/>
          <w:szCs w:val="24"/>
        </w:rPr>
        <w:t>本项目</w:t>
      </w:r>
      <w:r>
        <w:rPr>
          <w:rFonts w:hint="eastAsia"/>
          <w:sz w:val="24"/>
          <w:szCs w:val="24"/>
        </w:rPr>
        <w:t>为迁建项目，</w:t>
      </w:r>
      <w:r>
        <w:rPr>
          <w:rFonts w:hint="eastAsia" w:cs="宋体"/>
          <w:sz w:val="24"/>
          <w:szCs w:val="24"/>
          <w:lang w:bidi="ar"/>
        </w:rPr>
        <w:t>本项目实施后，全厂污染物排放总量不超过原环评批复总量，因此无需进行削减替代。详见下表。</w:t>
      </w:r>
    </w:p>
    <w:p w14:paraId="7FB2EE13">
      <w:pPr>
        <w:pStyle w:val="81"/>
        <w:widowControl w:val="0"/>
        <w:tabs>
          <w:tab w:val="left" w:pos="0"/>
        </w:tabs>
        <w:adjustRightInd w:val="0"/>
        <w:snapToGrid w:val="0"/>
        <w:spacing w:before="156" w:beforeLines="50" w:beforeAutospacing="0" w:after="0" w:afterAutospacing="0"/>
        <w:ind w:left="420"/>
        <w:jc w:val="center"/>
        <w:rPr>
          <w:rFonts w:hint="eastAsia"/>
          <w:color w:val="000000"/>
          <w:szCs w:val="24"/>
        </w:rPr>
      </w:pPr>
      <w:r>
        <w:rPr>
          <w:rFonts w:hint="eastAsia" w:ascii="Times New Roman" w:hAnsi="Times New Roman" w:cs="宋体"/>
          <w:b/>
          <w:color w:val="000000"/>
          <w:kern w:val="2"/>
          <w:szCs w:val="24"/>
          <w:lang w:bidi="ar"/>
        </w:rPr>
        <w:t>表</w:t>
      </w:r>
      <w:r>
        <w:rPr>
          <w:rFonts w:ascii="Times New Roman" w:hAnsi="Times New Roman"/>
          <w:b/>
          <w:color w:val="000000"/>
          <w:kern w:val="2"/>
          <w:szCs w:val="24"/>
          <w:lang w:bidi="ar"/>
        </w:rPr>
        <w:t xml:space="preserve">27  </w:t>
      </w:r>
      <w:r>
        <w:rPr>
          <w:rFonts w:hint="eastAsia" w:ascii="Times New Roman" w:hAnsi="Times New Roman" w:cs="宋体"/>
          <w:b/>
          <w:color w:val="000000"/>
          <w:kern w:val="2"/>
          <w:szCs w:val="24"/>
          <w:lang w:bidi="ar"/>
        </w:rPr>
        <w:t>全厂污染物排放产排情况</w:t>
      </w:r>
      <w:r>
        <w:rPr>
          <w:rFonts w:ascii="Times New Roman" w:hAnsi="Times New Roman"/>
          <w:b/>
          <w:color w:val="000000"/>
          <w:kern w:val="2"/>
          <w:szCs w:val="24"/>
          <w:lang w:bidi="ar"/>
        </w:rPr>
        <w:t xml:space="preserve">    </w:t>
      </w:r>
      <w:r>
        <w:rPr>
          <w:rFonts w:hint="eastAsia" w:ascii="Times New Roman" w:hAnsi="Times New Roman" w:cs="宋体"/>
          <w:b/>
          <w:color w:val="000000"/>
          <w:kern w:val="2"/>
          <w:szCs w:val="24"/>
          <w:lang w:bidi="ar"/>
        </w:rPr>
        <w:t>单位：</w:t>
      </w:r>
      <w:r>
        <w:rPr>
          <w:rFonts w:ascii="Times New Roman" w:hAnsi="Times New Roman"/>
          <w:b/>
          <w:color w:val="000000"/>
          <w:kern w:val="2"/>
          <w:szCs w:val="24"/>
          <w:lang w:bidi="ar"/>
        </w:rPr>
        <w:t>t/a</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83"/>
        <w:gridCol w:w="1561"/>
        <w:gridCol w:w="1389"/>
        <w:gridCol w:w="1215"/>
        <w:gridCol w:w="1597"/>
        <w:gridCol w:w="1597"/>
        <w:gridCol w:w="1010"/>
      </w:tblGrid>
      <w:tr w14:paraId="33EA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tcBorders>
              <w:top w:val="single" w:color="auto" w:sz="4" w:space="0"/>
              <w:left w:val="single" w:color="auto" w:sz="4" w:space="0"/>
              <w:bottom w:val="single" w:color="auto" w:sz="4" w:space="0"/>
              <w:right w:val="single" w:color="auto" w:sz="4" w:space="0"/>
            </w:tcBorders>
            <w:shd w:val="clear" w:color="auto" w:fill="auto"/>
            <w:vAlign w:val="center"/>
          </w:tcPr>
          <w:p w14:paraId="0E64466B">
            <w:pPr>
              <w:adjustRightInd w:val="0"/>
              <w:snapToGrid w:val="0"/>
              <w:jc w:val="center"/>
            </w:pPr>
            <w:r>
              <w:rPr>
                <w:rFonts w:hint="eastAsia" w:cs="宋体"/>
                <w:lang w:bidi="ar"/>
              </w:rPr>
              <w:t>污染源</w:t>
            </w: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37EE1F8F">
            <w:pPr>
              <w:adjustRightInd w:val="0"/>
              <w:snapToGrid w:val="0"/>
              <w:jc w:val="center"/>
            </w:pPr>
            <w:r>
              <w:rPr>
                <w:rFonts w:hint="eastAsia" w:cs="宋体"/>
                <w:lang w:bidi="ar"/>
              </w:rPr>
              <w:t>污染物</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453D7CA0">
            <w:pPr>
              <w:adjustRightInd w:val="0"/>
              <w:snapToGrid w:val="0"/>
              <w:jc w:val="center"/>
            </w:pPr>
            <w:r>
              <w:rPr>
                <w:rFonts w:hint="eastAsia" w:cs="宋体"/>
                <w:lang w:bidi="ar"/>
              </w:rPr>
              <w:t>原审批排放量</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62E2F17F">
            <w:pPr>
              <w:adjustRightInd w:val="0"/>
              <w:snapToGrid w:val="0"/>
              <w:jc w:val="center"/>
            </w:pPr>
            <w:r>
              <w:rPr>
                <w:rFonts w:hint="eastAsia" w:cs="宋体"/>
                <w:lang w:bidi="ar"/>
              </w:rPr>
              <w:t>本项目排放量</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3FA60142">
            <w:pPr>
              <w:adjustRightInd w:val="0"/>
              <w:snapToGrid w:val="0"/>
              <w:jc w:val="center"/>
              <w:rPr>
                <w:rFonts w:hint="default" w:eastAsia="宋体" w:cs="宋体"/>
                <w:lang w:val="en-US" w:eastAsia="zh-CN" w:bidi="ar"/>
              </w:rPr>
            </w:pPr>
            <w:r>
              <w:rPr>
                <w:rFonts w:hint="eastAsia" w:cs="宋体"/>
                <w:lang w:val="en-US" w:eastAsia="zh-CN" w:bidi="ar"/>
              </w:rPr>
              <w:t>“以新带老”削减量</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37577A24">
            <w:pPr>
              <w:adjustRightInd w:val="0"/>
              <w:snapToGrid w:val="0"/>
              <w:jc w:val="center"/>
            </w:pPr>
            <w:r>
              <w:rPr>
                <w:rFonts w:hint="eastAsia" w:cs="宋体"/>
                <w:lang w:bidi="ar"/>
              </w:rPr>
              <w:t>迁建后全厂排放量</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31F58B39">
            <w:pPr>
              <w:adjustRightInd w:val="0"/>
              <w:snapToGrid w:val="0"/>
              <w:jc w:val="center"/>
            </w:pPr>
            <w:r>
              <w:rPr>
                <w:rFonts w:hint="eastAsia" w:cs="宋体"/>
                <w:lang w:bidi="ar"/>
              </w:rPr>
              <w:t>增减量</w:t>
            </w:r>
          </w:p>
        </w:tc>
      </w:tr>
      <w:tr w14:paraId="26D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0E64B2">
            <w:pPr>
              <w:adjustRightInd w:val="0"/>
              <w:snapToGrid w:val="0"/>
              <w:jc w:val="center"/>
            </w:pPr>
            <w:r>
              <w:rPr>
                <w:rFonts w:hint="eastAsia" w:cs="宋体"/>
                <w:lang w:bidi="ar"/>
              </w:rPr>
              <w:t>废气</w:t>
            </w: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2439D8C8">
            <w:pPr>
              <w:jc w:val="center"/>
            </w:pPr>
            <w:r>
              <w:rPr>
                <w:rFonts w:hint="eastAsia" w:cs="宋体"/>
                <w:lang w:bidi="ar"/>
              </w:rPr>
              <w:t>二氧化硫</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5A3E3B82">
            <w:pPr>
              <w:jc w:val="center"/>
            </w:pPr>
            <w:r>
              <w:rPr>
                <w:rFonts w:hint="eastAsia"/>
                <w:lang w:bidi="ar"/>
              </w:rPr>
              <w:t>0.007</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207DD5AD">
            <w:pPr>
              <w:widowControl/>
              <w:jc w:val="center"/>
            </w:pPr>
            <w:r>
              <w:rPr>
                <w:lang w:bidi="ar"/>
              </w:rPr>
              <w:t>0</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47A0A455">
            <w:pPr>
              <w:widowControl/>
              <w:jc w:val="center"/>
              <w:rPr>
                <w:rFonts w:hint="default" w:eastAsia="宋体"/>
                <w:lang w:val="en-US" w:eastAsia="zh-CN" w:bidi="ar"/>
              </w:rPr>
            </w:pPr>
            <w:r>
              <w:rPr>
                <w:rFonts w:hint="eastAsia"/>
                <w:lang w:val="en-US" w:eastAsia="zh-CN" w:bidi="ar"/>
              </w:rPr>
              <w:t>-0.007</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167B1375">
            <w:pPr>
              <w:widowControl/>
              <w:jc w:val="center"/>
            </w:pPr>
            <w:r>
              <w:rPr>
                <w:rFonts w:hint="eastAsia"/>
                <w:lang w:bidi="ar"/>
              </w:rPr>
              <w:t>0</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0AA63F88">
            <w:pPr>
              <w:widowControl/>
              <w:jc w:val="center"/>
            </w:pPr>
            <w:r>
              <w:rPr>
                <w:rFonts w:hint="eastAsia"/>
              </w:rPr>
              <w:t>-0.007</w:t>
            </w:r>
          </w:p>
        </w:tc>
      </w:tr>
      <w:tr w14:paraId="2533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29EB4A">
            <w:pPr>
              <w:rPr>
                <w:sz w:val="20"/>
                <w:szCs w:val="20"/>
              </w:rPr>
            </w:pP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58345FC1">
            <w:pPr>
              <w:jc w:val="center"/>
            </w:pPr>
            <w:r>
              <w:rPr>
                <w:rFonts w:hint="eastAsia" w:cs="宋体"/>
                <w:lang w:bidi="ar"/>
              </w:rPr>
              <w:t>氮氧化物</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6C4A6247">
            <w:pPr>
              <w:jc w:val="center"/>
            </w:pPr>
            <w:r>
              <w:rPr>
                <w:rFonts w:hint="eastAsia"/>
                <w:lang w:bidi="ar"/>
              </w:rPr>
              <w:t>0.034</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7CA91E99">
            <w:pPr>
              <w:widowControl/>
              <w:jc w:val="center"/>
            </w:pPr>
            <w:r>
              <w:rPr>
                <w:lang w:bidi="ar"/>
              </w:rPr>
              <w:t>0</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6E77A7DE">
            <w:pPr>
              <w:widowControl/>
              <w:jc w:val="center"/>
              <w:rPr>
                <w:rFonts w:hint="default" w:eastAsia="宋体"/>
                <w:lang w:val="en-US" w:eastAsia="zh-CN" w:bidi="ar"/>
              </w:rPr>
            </w:pPr>
            <w:r>
              <w:rPr>
                <w:rFonts w:hint="eastAsia"/>
                <w:lang w:val="en-US" w:eastAsia="zh-CN" w:bidi="ar"/>
              </w:rPr>
              <w:t>-0.034</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7F07C77E">
            <w:pPr>
              <w:widowControl/>
              <w:jc w:val="center"/>
            </w:pPr>
            <w:r>
              <w:rPr>
                <w:rFonts w:hint="eastAsia"/>
                <w:lang w:bidi="ar"/>
              </w:rPr>
              <w:t>0</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687D2CF9">
            <w:pPr>
              <w:widowControl/>
              <w:jc w:val="center"/>
            </w:pPr>
            <w:r>
              <w:rPr>
                <w:rFonts w:hint="eastAsia"/>
              </w:rPr>
              <w:t>-0.034</w:t>
            </w:r>
          </w:p>
        </w:tc>
      </w:tr>
      <w:tr w14:paraId="76B0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DA4F09">
            <w:pPr>
              <w:rPr>
                <w:sz w:val="20"/>
                <w:szCs w:val="20"/>
              </w:rPr>
            </w:pP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6416D65F">
            <w:pPr>
              <w:jc w:val="center"/>
            </w:pPr>
            <w:r>
              <w:rPr>
                <w:lang w:bidi="ar"/>
              </w:rPr>
              <w:t>VOCs</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5B2AED00">
            <w:pPr>
              <w:jc w:val="center"/>
            </w:pPr>
            <w:r>
              <w:rPr>
                <w:rFonts w:hint="eastAsia"/>
                <w:lang w:bidi="ar"/>
              </w:rPr>
              <w:t>0.40456</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18D307D2">
            <w:pPr>
              <w:jc w:val="center"/>
            </w:pPr>
            <w:r>
              <w:rPr>
                <w:rFonts w:hint="eastAsia"/>
                <w:kern w:val="0"/>
                <w:lang w:bidi="ar"/>
              </w:rPr>
              <w:t>0.373</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2FF22539">
            <w:pPr>
              <w:jc w:val="center"/>
              <w:rPr>
                <w:rFonts w:hint="eastAsia"/>
                <w:kern w:val="0"/>
                <w:lang w:bidi="ar"/>
              </w:rPr>
            </w:pPr>
            <w:r>
              <w:rPr>
                <w:rFonts w:hint="eastAsia"/>
              </w:rPr>
              <w:t>-0.03156</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72DFCF90">
            <w:pPr>
              <w:jc w:val="center"/>
            </w:pPr>
            <w:r>
              <w:rPr>
                <w:rFonts w:hint="eastAsia"/>
                <w:kern w:val="0"/>
                <w:lang w:bidi="ar"/>
              </w:rPr>
              <w:t>0.373</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0F2AC412">
            <w:pPr>
              <w:jc w:val="center"/>
            </w:pPr>
            <w:r>
              <w:rPr>
                <w:rFonts w:hint="eastAsia"/>
              </w:rPr>
              <w:t>-0.03156</w:t>
            </w:r>
          </w:p>
        </w:tc>
      </w:tr>
      <w:tr w14:paraId="5A2F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8F8069">
            <w:pPr>
              <w:adjustRightInd w:val="0"/>
              <w:snapToGrid w:val="0"/>
              <w:jc w:val="center"/>
            </w:pPr>
            <w:r>
              <w:rPr>
                <w:rFonts w:hint="eastAsia" w:cs="宋体"/>
                <w:lang w:bidi="ar"/>
              </w:rPr>
              <w:t>废水</w:t>
            </w: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063E41BF">
            <w:pPr>
              <w:adjustRightInd w:val="0"/>
              <w:snapToGrid w:val="0"/>
              <w:jc w:val="center"/>
            </w:pPr>
            <w:r>
              <w:rPr>
                <w:rFonts w:hint="eastAsia" w:cs="宋体"/>
                <w:lang w:bidi="ar"/>
              </w:rPr>
              <w:t>废水量</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1D6CEAC5">
            <w:pPr>
              <w:widowControl/>
              <w:jc w:val="center"/>
            </w:pPr>
            <w:r>
              <w:rPr>
                <w:rFonts w:hint="eastAsia"/>
                <w:lang w:bidi="ar"/>
              </w:rPr>
              <w:t>2730.75</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76774BC0">
            <w:pPr>
              <w:adjustRightInd w:val="0"/>
              <w:snapToGrid w:val="0"/>
              <w:jc w:val="center"/>
            </w:pPr>
            <w:r>
              <w:rPr>
                <w:rFonts w:hint="eastAsia"/>
                <w:lang w:bidi="ar"/>
              </w:rPr>
              <w:t>3</w:t>
            </w:r>
            <w:r>
              <w:rPr>
                <w:rFonts w:hint="eastAsia"/>
                <w:lang w:val="en-US" w:eastAsia="zh-CN" w:bidi="ar"/>
              </w:rPr>
              <w:t>66</w:t>
            </w:r>
            <w:r>
              <w:rPr>
                <w:rFonts w:hint="eastAsia"/>
                <w:lang w:bidi="ar"/>
              </w:rPr>
              <w:t>.75</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2DEE96CD">
            <w:pPr>
              <w:adjustRightInd w:val="0"/>
              <w:snapToGrid w:val="0"/>
              <w:jc w:val="center"/>
              <w:rPr>
                <w:rFonts w:hint="eastAsia"/>
                <w:lang w:bidi="ar"/>
              </w:rPr>
            </w:pPr>
            <w:r>
              <w:rPr>
                <w:rFonts w:hint="eastAsia"/>
              </w:rPr>
              <w:t>-2</w:t>
            </w:r>
            <w:r>
              <w:rPr>
                <w:rFonts w:hint="eastAsia"/>
                <w:lang w:val="en-US" w:eastAsia="zh-CN"/>
              </w:rPr>
              <w:t>364</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59A1E9D4">
            <w:pPr>
              <w:adjustRightInd w:val="0"/>
              <w:snapToGrid w:val="0"/>
              <w:jc w:val="center"/>
            </w:pPr>
            <w:r>
              <w:rPr>
                <w:rFonts w:hint="eastAsia"/>
                <w:lang w:bidi="ar"/>
              </w:rPr>
              <w:t>3</w:t>
            </w:r>
            <w:r>
              <w:rPr>
                <w:rFonts w:hint="eastAsia"/>
                <w:lang w:val="en-US" w:eastAsia="zh-CN" w:bidi="ar"/>
              </w:rPr>
              <w:t>66</w:t>
            </w:r>
            <w:r>
              <w:rPr>
                <w:rFonts w:hint="eastAsia"/>
                <w:lang w:bidi="ar"/>
              </w:rPr>
              <w:t>.75</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33944534">
            <w:pPr>
              <w:jc w:val="center"/>
              <w:rPr>
                <w:rFonts w:hint="default" w:eastAsia="宋体"/>
                <w:lang w:val="en-US" w:eastAsia="zh-CN"/>
              </w:rPr>
            </w:pPr>
            <w:r>
              <w:rPr>
                <w:rFonts w:hint="eastAsia"/>
              </w:rPr>
              <w:t>-2</w:t>
            </w:r>
            <w:r>
              <w:rPr>
                <w:rFonts w:hint="eastAsia"/>
                <w:lang w:val="en-US" w:eastAsia="zh-CN"/>
              </w:rPr>
              <w:t>364</w:t>
            </w:r>
          </w:p>
        </w:tc>
      </w:tr>
      <w:tr w14:paraId="5777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AEF4DA">
            <w:pPr>
              <w:rPr>
                <w:sz w:val="20"/>
                <w:szCs w:val="20"/>
              </w:rPr>
            </w:pP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19F44A88">
            <w:pPr>
              <w:adjustRightInd w:val="0"/>
              <w:snapToGrid w:val="0"/>
              <w:jc w:val="center"/>
            </w:pPr>
            <w:r>
              <w:rPr>
                <w:lang w:bidi="ar"/>
              </w:rPr>
              <w:t>COD</w:t>
            </w:r>
            <w:r>
              <w:rPr>
                <w:vertAlign w:val="subscript"/>
                <w:lang w:bidi="ar"/>
              </w:rPr>
              <w:t>Cr</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4BDBF648">
            <w:pPr>
              <w:widowControl/>
              <w:jc w:val="center"/>
            </w:pPr>
            <w:r>
              <w:rPr>
                <w:rFonts w:hint="eastAsia"/>
              </w:rPr>
              <w:t>0.13985</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50840ECF">
            <w:pPr>
              <w:adjustRightInd w:val="0"/>
              <w:snapToGrid w:val="0"/>
              <w:jc w:val="center"/>
              <w:rPr>
                <w:rFonts w:hint="default" w:eastAsia="宋体"/>
                <w:lang w:val="en-US" w:eastAsia="zh-CN"/>
              </w:rPr>
            </w:pPr>
            <w:r>
              <w:rPr>
                <w:rFonts w:hint="eastAsia"/>
              </w:rPr>
              <w:t>0.0</w:t>
            </w:r>
            <w:r>
              <w:rPr>
                <w:rFonts w:hint="eastAsia"/>
                <w:lang w:val="en-US" w:eastAsia="zh-CN"/>
              </w:rPr>
              <w:t>15</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77CA964B">
            <w:pPr>
              <w:jc w:val="center"/>
              <w:rPr>
                <w:rFonts w:hint="eastAsia" w:ascii="Times New Roman" w:hAnsi="Times New Roman" w:eastAsia="宋体" w:cs="Times New Roman"/>
                <w:kern w:val="2"/>
                <w:sz w:val="21"/>
                <w:szCs w:val="21"/>
                <w:lang w:val="en-US" w:eastAsia="zh-CN" w:bidi="ar-SA"/>
              </w:rPr>
            </w:pPr>
            <w:r>
              <w:rPr>
                <w:rFonts w:hint="eastAsia"/>
              </w:rPr>
              <w:t>-0.1</w:t>
            </w:r>
            <w:r>
              <w:rPr>
                <w:rFonts w:hint="eastAsia"/>
                <w:lang w:val="en-US" w:eastAsia="zh-CN"/>
              </w:rPr>
              <w:t>24</w:t>
            </w:r>
            <w:r>
              <w:rPr>
                <w:rFonts w:hint="eastAsia"/>
              </w:rPr>
              <w:t>85</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7538EF31">
            <w:pPr>
              <w:adjustRightInd w:val="0"/>
              <w:snapToGrid w:val="0"/>
              <w:jc w:val="center"/>
              <w:rPr>
                <w:rFonts w:hint="default" w:eastAsia="宋体"/>
                <w:lang w:val="en-US" w:eastAsia="zh-CN"/>
              </w:rPr>
            </w:pPr>
            <w:r>
              <w:rPr>
                <w:rFonts w:hint="eastAsia"/>
              </w:rPr>
              <w:t>0.0</w:t>
            </w:r>
            <w:r>
              <w:rPr>
                <w:rFonts w:hint="eastAsia"/>
                <w:lang w:val="en-US" w:eastAsia="zh-CN"/>
              </w:rPr>
              <w:t>15</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243D1C65">
            <w:pPr>
              <w:jc w:val="center"/>
            </w:pPr>
            <w:r>
              <w:rPr>
                <w:rFonts w:hint="eastAsia"/>
              </w:rPr>
              <w:t>-0.1</w:t>
            </w:r>
            <w:r>
              <w:rPr>
                <w:rFonts w:hint="eastAsia"/>
                <w:lang w:val="en-US" w:eastAsia="zh-CN"/>
              </w:rPr>
              <w:t>24</w:t>
            </w:r>
            <w:r>
              <w:rPr>
                <w:rFonts w:hint="eastAsia"/>
              </w:rPr>
              <w:t>85</w:t>
            </w:r>
          </w:p>
        </w:tc>
      </w:tr>
      <w:tr w14:paraId="5861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B764FC">
            <w:pPr>
              <w:rPr>
                <w:sz w:val="20"/>
                <w:szCs w:val="20"/>
              </w:rPr>
            </w:pPr>
          </w:p>
        </w:tc>
        <w:tc>
          <w:tcPr>
            <w:tcW w:w="808" w:type="pct"/>
            <w:tcBorders>
              <w:top w:val="single" w:color="auto" w:sz="4" w:space="0"/>
              <w:left w:val="single" w:color="auto" w:sz="4" w:space="0"/>
              <w:bottom w:val="single" w:color="auto" w:sz="4" w:space="0"/>
              <w:right w:val="single" w:color="auto" w:sz="4" w:space="0"/>
            </w:tcBorders>
            <w:shd w:val="clear" w:color="auto" w:fill="auto"/>
            <w:vAlign w:val="center"/>
          </w:tcPr>
          <w:p w14:paraId="4FA9C314">
            <w:pPr>
              <w:adjustRightInd w:val="0"/>
              <w:snapToGrid w:val="0"/>
              <w:jc w:val="center"/>
            </w:pPr>
            <w:r>
              <w:rPr>
                <w:lang w:bidi="ar"/>
              </w:rPr>
              <w:t>NH</w:t>
            </w:r>
            <w:r>
              <w:rPr>
                <w:vertAlign w:val="subscript"/>
                <w:lang w:bidi="ar"/>
              </w:rPr>
              <w:t>3</w:t>
            </w:r>
            <w:r>
              <w:rPr>
                <w:lang w:bidi="ar"/>
              </w:rPr>
              <w:t>-N</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3EADC48F">
            <w:pPr>
              <w:widowControl/>
              <w:jc w:val="center"/>
            </w:pPr>
            <w:r>
              <w:rPr>
                <w:rFonts w:hint="eastAsia"/>
              </w:rPr>
              <w:t>0.01696</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2B5A8A2D">
            <w:pPr>
              <w:adjustRightInd w:val="0"/>
              <w:snapToGrid w:val="0"/>
              <w:jc w:val="center"/>
            </w:pPr>
            <w:r>
              <w:rPr>
                <w:rFonts w:hint="eastAsia"/>
              </w:rPr>
              <w:t>0.001</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3897A1A5">
            <w:pPr>
              <w:jc w:val="center"/>
              <w:rPr>
                <w:rFonts w:hint="eastAsia" w:ascii="Times New Roman" w:hAnsi="Times New Roman" w:eastAsia="宋体" w:cs="Times New Roman"/>
                <w:kern w:val="2"/>
                <w:sz w:val="21"/>
                <w:szCs w:val="21"/>
                <w:lang w:val="en-US" w:eastAsia="zh-CN" w:bidi="ar-SA"/>
              </w:rPr>
            </w:pPr>
            <w:r>
              <w:rPr>
                <w:rFonts w:hint="eastAsia"/>
              </w:rPr>
              <w:t>-0.01596</w:t>
            </w:r>
          </w:p>
        </w:tc>
        <w:tc>
          <w:tcPr>
            <w:tcW w:w="827" w:type="pct"/>
            <w:tcBorders>
              <w:top w:val="single" w:color="auto" w:sz="4" w:space="0"/>
              <w:left w:val="single" w:color="auto" w:sz="4" w:space="0"/>
              <w:bottom w:val="single" w:color="auto" w:sz="4" w:space="0"/>
              <w:right w:val="single" w:color="auto" w:sz="4" w:space="0"/>
            </w:tcBorders>
            <w:shd w:val="clear" w:color="auto" w:fill="auto"/>
            <w:vAlign w:val="center"/>
          </w:tcPr>
          <w:p w14:paraId="4B73AD39">
            <w:pPr>
              <w:adjustRightInd w:val="0"/>
              <w:snapToGrid w:val="0"/>
              <w:jc w:val="center"/>
            </w:pPr>
            <w:r>
              <w:rPr>
                <w:rFonts w:hint="eastAsia"/>
              </w:rPr>
              <w:t>0.001</w:t>
            </w:r>
          </w:p>
        </w:tc>
        <w:tc>
          <w:tcPr>
            <w:tcW w:w="523" w:type="pct"/>
            <w:tcBorders>
              <w:top w:val="single" w:color="auto" w:sz="4" w:space="0"/>
              <w:left w:val="single" w:color="auto" w:sz="4" w:space="0"/>
              <w:bottom w:val="single" w:color="auto" w:sz="4" w:space="0"/>
              <w:right w:val="single" w:color="auto" w:sz="4" w:space="0"/>
            </w:tcBorders>
            <w:shd w:val="clear" w:color="auto" w:fill="auto"/>
            <w:vAlign w:val="center"/>
          </w:tcPr>
          <w:p w14:paraId="2FC94B7C">
            <w:pPr>
              <w:jc w:val="center"/>
            </w:pPr>
            <w:r>
              <w:rPr>
                <w:rFonts w:hint="eastAsia"/>
              </w:rPr>
              <w:t>-0.01596</w:t>
            </w:r>
          </w:p>
        </w:tc>
      </w:tr>
    </w:tbl>
    <w:p w14:paraId="33E32B76">
      <w:pPr>
        <w:adjustRightInd w:val="0"/>
        <w:snapToGrid w:val="0"/>
        <w:spacing w:line="360" w:lineRule="auto"/>
        <w:ind w:firstLine="480" w:firstLineChars="200"/>
        <w:rPr>
          <w:bCs/>
          <w:sz w:val="24"/>
          <w:szCs w:val="24"/>
        </w:rPr>
      </w:pPr>
      <w:r>
        <w:rPr>
          <w:rFonts w:hint="eastAsia" w:cs="宋体"/>
          <w:sz w:val="24"/>
          <w:szCs w:val="24"/>
          <w:lang w:bidi="ar"/>
        </w:rPr>
        <w:t>本项目实施后，不新增污染物总量控制指标</w:t>
      </w:r>
      <w:r>
        <w:rPr>
          <w:rFonts w:hint="eastAsia" w:cs="宋体"/>
          <w:bCs/>
          <w:sz w:val="24"/>
          <w:szCs w:val="24"/>
          <w:lang w:bidi="ar"/>
        </w:rPr>
        <w:t>。</w:t>
      </w:r>
    </w:p>
    <w:p w14:paraId="2D07150D">
      <w:pPr>
        <w:pStyle w:val="122"/>
        <w:ind w:firstLine="0" w:firstLineChars="0"/>
        <w:outlineLvl w:val="1"/>
        <w:rPr>
          <w:b/>
        </w:rPr>
      </w:pPr>
      <w:bookmarkStart w:id="38" w:name="_Toc8961"/>
      <w:r>
        <w:rPr>
          <w:b/>
        </w:rPr>
        <w:t>4</w:t>
      </w:r>
      <w:r>
        <w:rPr>
          <w:rFonts w:hint="eastAsia"/>
          <w:b/>
        </w:rPr>
        <w:t>、环保措施监督检查清单</w:t>
      </w:r>
      <w:bookmarkEnd w:id="38"/>
    </w:p>
    <w:p w14:paraId="03BF5CA2">
      <w:pPr>
        <w:adjustRightInd w:val="0"/>
        <w:snapToGrid w:val="0"/>
        <w:spacing w:line="360" w:lineRule="auto"/>
        <w:ind w:firstLine="480" w:firstLineChars="200"/>
        <w:rPr>
          <w:sz w:val="24"/>
          <w:szCs w:val="24"/>
        </w:rPr>
      </w:pPr>
      <w:r>
        <w:rPr>
          <w:sz w:val="24"/>
          <w:szCs w:val="24"/>
        </w:rPr>
        <w:t>本项目</w:t>
      </w:r>
      <w:r>
        <w:rPr>
          <w:rFonts w:hint="eastAsia"/>
          <w:sz w:val="24"/>
          <w:szCs w:val="24"/>
        </w:rPr>
        <w:t>环保措施监督检查清单如下表所示：</w:t>
      </w:r>
    </w:p>
    <w:p w14:paraId="5F515C36">
      <w:pPr>
        <w:pStyle w:val="116"/>
        <w:numPr>
          <w:ilvl w:val="0"/>
          <w:numId w:val="22"/>
        </w:numPr>
        <w:spacing w:before="0" w:beforeLines="0"/>
        <w:ind w:left="0"/>
      </w:pPr>
      <w:bookmarkStart w:id="39" w:name="_Hlk54167917"/>
      <w:r>
        <w:t>环境保护措施监督检查清单</w:t>
      </w:r>
      <w:bookmarkEnd w:id="39"/>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85"/>
        <w:gridCol w:w="1402"/>
        <w:gridCol w:w="918"/>
        <w:gridCol w:w="3610"/>
        <w:gridCol w:w="2183"/>
      </w:tblGrid>
      <w:tr w14:paraId="52ED4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tcBorders>
              <w:tl2br w:val="single" w:color="auto" w:sz="4" w:space="0"/>
            </w:tcBorders>
          </w:tcPr>
          <w:p w14:paraId="4F4B67A5">
            <w:pPr>
              <w:adjustRightInd w:val="0"/>
              <w:snapToGrid w:val="0"/>
              <w:ind w:firstLine="840" w:firstLineChars="400"/>
            </w:pPr>
            <w:r>
              <w:t>内容</w:t>
            </w:r>
          </w:p>
          <w:p w14:paraId="1AD41197">
            <w:pPr>
              <w:adjustRightInd w:val="0"/>
              <w:snapToGrid w:val="0"/>
            </w:pPr>
            <w:r>
              <w:t>要素</w:t>
            </w:r>
          </w:p>
        </w:tc>
        <w:tc>
          <w:tcPr>
            <w:tcW w:w="730" w:type="pct"/>
            <w:vAlign w:val="center"/>
          </w:tcPr>
          <w:p w14:paraId="54B38FDE">
            <w:pPr>
              <w:adjustRightInd w:val="0"/>
              <w:snapToGrid w:val="0"/>
              <w:jc w:val="center"/>
            </w:pPr>
            <w:r>
              <w:t>排放口(编号、名称)/污染源</w:t>
            </w:r>
          </w:p>
        </w:tc>
        <w:tc>
          <w:tcPr>
            <w:tcW w:w="478" w:type="pct"/>
            <w:vAlign w:val="center"/>
          </w:tcPr>
          <w:p w14:paraId="07A31277">
            <w:pPr>
              <w:adjustRightInd w:val="0"/>
              <w:snapToGrid w:val="0"/>
              <w:jc w:val="center"/>
            </w:pPr>
            <w:r>
              <w:t>污染物项目</w:t>
            </w:r>
          </w:p>
        </w:tc>
        <w:tc>
          <w:tcPr>
            <w:tcW w:w="1880" w:type="pct"/>
            <w:vAlign w:val="center"/>
          </w:tcPr>
          <w:p w14:paraId="16081867">
            <w:pPr>
              <w:adjustRightInd w:val="0"/>
              <w:snapToGrid w:val="0"/>
              <w:jc w:val="center"/>
            </w:pPr>
            <w:r>
              <w:t>环境保护措施</w:t>
            </w:r>
          </w:p>
        </w:tc>
        <w:tc>
          <w:tcPr>
            <w:tcW w:w="1136" w:type="pct"/>
            <w:vAlign w:val="center"/>
          </w:tcPr>
          <w:p w14:paraId="4F9CF199">
            <w:pPr>
              <w:adjustRightInd w:val="0"/>
              <w:snapToGrid w:val="0"/>
              <w:jc w:val="center"/>
            </w:pPr>
            <w:r>
              <w:t>执行标准</w:t>
            </w:r>
          </w:p>
        </w:tc>
      </w:tr>
      <w:tr w14:paraId="31FB3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restart"/>
            <w:vAlign w:val="center"/>
          </w:tcPr>
          <w:p w14:paraId="74C9D08B">
            <w:pPr>
              <w:adjustRightInd w:val="0"/>
              <w:snapToGrid w:val="0"/>
              <w:jc w:val="center"/>
            </w:pPr>
            <w:r>
              <w:t>大气环境</w:t>
            </w:r>
          </w:p>
        </w:tc>
        <w:tc>
          <w:tcPr>
            <w:tcW w:w="730" w:type="pct"/>
            <w:vAlign w:val="center"/>
          </w:tcPr>
          <w:p w14:paraId="7D525782">
            <w:pPr>
              <w:adjustRightInd w:val="0"/>
              <w:snapToGrid w:val="0"/>
              <w:jc w:val="center"/>
            </w:pPr>
            <w:r>
              <w:rPr>
                <w:rFonts w:hint="eastAsia"/>
              </w:rPr>
              <w:t>DA001</w:t>
            </w:r>
          </w:p>
        </w:tc>
        <w:tc>
          <w:tcPr>
            <w:tcW w:w="478" w:type="pct"/>
            <w:vAlign w:val="center"/>
          </w:tcPr>
          <w:p w14:paraId="5AF40F89">
            <w:pPr>
              <w:adjustRightInd w:val="0"/>
              <w:snapToGrid w:val="0"/>
              <w:jc w:val="center"/>
              <w:rPr>
                <w:rFonts w:hint="default" w:eastAsia="宋体"/>
                <w:lang w:val="en-US" w:eastAsia="zh-CN"/>
              </w:rPr>
            </w:pPr>
            <w:r>
              <w:rPr>
                <w:rFonts w:hint="eastAsia"/>
              </w:rPr>
              <w:t>TVOC</w:t>
            </w:r>
            <w:r>
              <w:rPr>
                <w:rFonts w:hint="eastAsia"/>
                <w:lang w:eastAsia="zh-CN"/>
              </w:rPr>
              <w:t>、</w:t>
            </w:r>
            <w:r>
              <w:rPr>
                <w:rFonts w:hint="eastAsia"/>
                <w:lang w:val="en-US" w:eastAsia="zh-CN"/>
              </w:rPr>
              <w:t>臭气浓度</w:t>
            </w:r>
          </w:p>
        </w:tc>
        <w:tc>
          <w:tcPr>
            <w:tcW w:w="1880" w:type="pct"/>
            <w:vAlign w:val="center"/>
          </w:tcPr>
          <w:p w14:paraId="6004D79B">
            <w:pPr>
              <w:adjustRightInd w:val="0"/>
              <w:snapToGrid w:val="0"/>
              <w:jc w:val="center"/>
            </w:pPr>
            <w:r>
              <w:rPr>
                <w:rFonts w:hint="eastAsia"/>
              </w:rPr>
              <w:t>新建一套“活性炭”吸附装置+25m高排气筒</w:t>
            </w:r>
          </w:p>
        </w:tc>
        <w:tc>
          <w:tcPr>
            <w:tcW w:w="1136" w:type="pct"/>
            <w:vMerge w:val="restart"/>
            <w:vAlign w:val="center"/>
          </w:tcPr>
          <w:p w14:paraId="34D0312C">
            <w:pPr>
              <w:adjustRightInd w:val="0"/>
              <w:snapToGrid w:val="0"/>
              <w:jc w:val="center"/>
              <w:rPr>
                <w:highlight w:val="yellow"/>
              </w:rPr>
            </w:pPr>
            <w:r>
              <w:t>《工业涂装工序大气污染物排放标准》（DB33/2146-2018）</w:t>
            </w:r>
          </w:p>
        </w:tc>
      </w:tr>
      <w:tr w14:paraId="02EFC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0CDFCAC3">
            <w:pPr>
              <w:adjustRightInd w:val="0"/>
              <w:snapToGrid w:val="0"/>
              <w:jc w:val="center"/>
            </w:pPr>
          </w:p>
        </w:tc>
        <w:tc>
          <w:tcPr>
            <w:tcW w:w="730" w:type="pct"/>
            <w:vAlign w:val="center"/>
          </w:tcPr>
          <w:p w14:paraId="00724CD2">
            <w:pPr>
              <w:adjustRightInd w:val="0"/>
              <w:snapToGrid w:val="0"/>
              <w:jc w:val="center"/>
            </w:pPr>
            <w:r>
              <w:rPr>
                <w:rFonts w:hint="eastAsia"/>
              </w:rPr>
              <w:t>厂区内</w:t>
            </w:r>
          </w:p>
        </w:tc>
        <w:tc>
          <w:tcPr>
            <w:tcW w:w="478" w:type="pct"/>
            <w:vAlign w:val="center"/>
          </w:tcPr>
          <w:p w14:paraId="3BF9CDAF">
            <w:pPr>
              <w:adjustRightInd w:val="0"/>
              <w:snapToGrid w:val="0"/>
              <w:jc w:val="center"/>
            </w:pPr>
            <w:r>
              <w:rPr>
                <w:rFonts w:hint="eastAsia"/>
              </w:rPr>
              <w:t>NMHC</w:t>
            </w:r>
          </w:p>
        </w:tc>
        <w:tc>
          <w:tcPr>
            <w:tcW w:w="1880" w:type="pct"/>
            <w:vAlign w:val="center"/>
          </w:tcPr>
          <w:p w14:paraId="795491A8">
            <w:pPr>
              <w:adjustRightInd w:val="0"/>
              <w:snapToGrid w:val="0"/>
              <w:jc w:val="center"/>
            </w:pPr>
            <w:r>
              <w:rPr>
                <w:rFonts w:hint="eastAsia"/>
              </w:rPr>
              <w:t>/</w:t>
            </w:r>
          </w:p>
        </w:tc>
        <w:tc>
          <w:tcPr>
            <w:tcW w:w="1136" w:type="pct"/>
            <w:vMerge w:val="continue"/>
            <w:vAlign w:val="center"/>
          </w:tcPr>
          <w:p w14:paraId="3C64D297">
            <w:pPr>
              <w:adjustRightInd w:val="0"/>
              <w:snapToGrid w:val="0"/>
              <w:jc w:val="center"/>
              <w:rPr>
                <w:highlight w:val="yellow"/>
              </w:rPr>
            </w:pPr>
          </w:p>
        </w:tc>
      </w:tr>
      <w:tr w14:paraId="2EE8A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44DAE102">
            <w:pPr>
              <w:adjustRightInd w:val="0"/>
              <w:snapToGrid w:val="0"/>
              <w:jc w:val="center"/>
            </w:pPr>
          </w:p>
        </w:tc>
        <w:tc>
          <w:tcPr>
            <w:tcW w:w="730" w:type="pct"/>
            <w:vMerge w:val="restart"/>
            <w:vAlign w:val="center"/>
          </w:tcPr>
          <w:p w14:paraId="1BF6D3FC">
            <w:pPr>
              <w:adjustRightInd w:val="0"/>
              <w:snapToGrid w:val="0"/>
              <w:jc w:val="center"/>
            </w:pPr>
            <w:r>
              <w:rPr>
                <w:rFonts w:hint="eastAsia"/>
              </w:rPr>
              <w:t>厂界</w:t>
            </w:r>
          </w:p>
        </w:tc>
        <w:tc>
          <w:tcPr>
            <w:tcW w:w="478" w:type="pct"/>
            <w:vAlign w:val="center"/>
          </w:tcPr>
          <w:p w14:paraId="672F3540">
            <w:pPr>
              <w:adjustRightInd w:val="0"/>
              <w:snapToGrid w:val="0"/>
              <w:jc w:val="center"/>
            </w:pPr>
            <w:r>
              <w:rPr>
                <w:rFonts w:hint="eastAsia"/>
              </w:rPr>
              <w:t>颗粒物</w:t>
            </w:r>
          </w:p>
        </w:tc>
        <w:tc>
          <w:tcPr>
            <w:tcW w:w="1880" w:type="pct"/>
            <w:vAlign w:val="center"/>
          </w:tcPr>
          <w:p w14:paraId="191AB5C3">
            <w:pPr>
              <w:adjustRightInd w:val="0"/>
              <w:snapToGrid w:val="0"/>
              <w:jc w:val="center"/>
            </w:pPr>
            <w:r>
              <w:rPr>
                <w:rFonts w:hint="eastAsia"/>
              </w:rPr>
              <w:t>各类粉尘经集气罩收集后经“袋式除尘器”处理后无组织排放</w:t>
            </w:r>
          </w:p>
        </w:tc>
        <w:tc>
          <w:tcPr>
            <w:tcW w:w="1136" w:type="pct"/>
            <w:vAlign w:val="center"/>
          </w:tcPr>
          <w:p w14:paraId="30BBC7B1">
            <w:pPr>
              <w:adjustRightInd w:val="0"/>
              <w:snapToGrid w:val="0"/>
              <w:jc w:val="center"/>
              <w:rPr>
                <w:highlight w:val="yellow"/>
              </w:rPr>
            </w:pPr>
            <w:r>
              <w:rPr>
                <w:rFonts w:hint="eastAsia"/>
              </w:rPr>
              <w:t>《大气污染物综合排放标准》（GB16297-1996）</w:t>
            </w:r>
          </w:p>
        </w:tc>
      </w:tr>
      <w:tr w14:paraId="1AE4E8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Merge w:val="continue"/>
            <w:vAlign w:val="center"/>
          </w:tcPr>
          <w:p w14:paraId="2D6507FD">
            <w:pPr>
              <w:adjustRightInd w:val="0"/>
              <w:snapToGrid w:val="0"/>
              <w:jc w:val="center"/>
            </w:pPr>
          </w:p>
        </w:tc>
        <w:tc>
          <w:tcPr>
            <w:tcW w:w="730" w:type="pct"/>
            <w:vMerge w:val="continue"/>
            <w:vAlign w:val="center"/>
          </w:tcPr>
          <w:p w14:paraId="17F02D8F">
            <w:pPr>
              <w:adjustRightInd w:val="0"/>
              <w:snapToGrid w:val="0"/>
              <w:jc w:val="center"/>
            </w:pPr>
          </w:p>
        </w:tc>
        <w:tc>
          <w:tcPr>
            <w:tcW w:w="478" w:type="pct"/>
            <w:vAlign w:val="center"/>
          </w:tcPr>
          <w:p w14:paraId="741086B6">
            <w:pPr>
              <w:adjustRightInd w:val="0"/>
              <w:snapToGrid w:val="0"/>
              <w:jc w:val="center"/>
              <w:rPr>
                <w:rFonts w:hint="default" w:eastAsia="宋体"/>
                <w:lang w:val="en-US" w:eastAsia="zh-CN"/>
              </w:rPr>
            </w:pPr>
            <w:r>
              <w:rPr>
                <w:rFonts w:hint="eastAsia"/>
              </w:rPr>
              <w:t>NMHC</w:t>
            </w:r>
            <w:r>
              <w:rPr>
                <w:rFonts w:hint="eastAsia"/>
                <w:lang w:eastAsia="zh-CN"/>
              </w:rPr>
              <w:t>、</w:t>
            </w:r>
            <w:r>
              <w:rPr>
                <w:rFonts w:hint="eastAsia"/>
                <w:lang w:val="en-US" w:eastAsia="zh-CN"/>
              </w:rPr>
              <w:t>臭气浓度、甲醛</w:t>
            </w:r>
          </w:p>
        </w:tc>
        <w:tc>
          <w:tcPr>
            <w:tcW w:w="1880" w:type="pct"/>
            <w:vAlign w:val="center"/>
          </w:tcPr>
          <w:p w14:paraId="390CE410">
            <w:pPr>
              <w:adjustRightInd w:val="0"/>
              <w:snapToGrid w:val="0"/>
              <w:jc w:val="center"/>
            </w:pPr>
            <w:r>
              <w:rPr>
                <w:rFonts w:hint="eastAsia"/>
              </w:rPr>
              <w:t>/</w:t>
            </w:r>
          </w:p>
        </w:tc>
        <w:tc>
          <w:tcPr>
            <w:tcW w:w="1136" w:type="pct"/>
            <w:vAlign w:val="center"/>
          </w:tcPr>
          <w:p w14:paraId="3E95FBAD">
            <w:pPr>
              <w:adjustRightInd w:val="0"/>
              <w:snapToGrid w:val="0"/>
              <w:jc w:val="center"/>
            </w:pPr>
            <w:r>
              <w:t>《工业涂装工序大气污染物排放标准》（DB33/2146-2018）</w:t>
            </w:r>
          </w:p>
        </w:tc>
      </w:tr>
      <w:tr w14:paraId="0B382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Align w:val="center"/>
          </w:tcPr>
          <w:p w14:paraId="5AC0E8FB">
            <w:pPr>
              <w:adjustRightInd w:val="0"/>
              <w:snapToGrid w:val="0"/>
              <w:jc w:val="center"/>
            </w:pPr>
            <w:r>
              <w:rPr>
                <w:rFonts w:hint="eastAsia"/>
              </w:rPr>
              <w:t>水环境</w:t>
            </w:r>
          </w:p>
        </w:tc>
        <w:tc>
          <w:tcPr>
            <w:tcW w:w="730" w:type="pct"/>
            <w:vAlign w:val="center"/>
          </w:tcPr>
          <w:p w14:paraId="35B6D4FA">
            <w:pPr>
              <w:adjustRightInd w:val="0"/>
              <w:snapToGrid w:val="0"/>
              <w:jc w:val="center"/>
            </w:pPr>
            <w:r>
              <w:rPr>
                <w:rFonts w:hint="eastAsia"/>
              </w:rPr>
              <w:t>DW001</w:t>
            </w:r>
          </w:p>
        </w:tc>
        <w:tc>
          <w:tcPr>
            <w:tcW w:w="478" w:type="pct"/>
            <w:vAlign w:val="center"/>
          </w:tcPr>
          <w:p w14:paraId="421554F6">
            <w:pPr>
              <w:adjustRightInd w:val="0"/>
              <w:snapToGrid w:val="0"/>
              <w:jc w:val="center"/>
            </w:pPr>
            <w:r>
              <w:rPr>
                <w:rFonts w:hint="eastAsia"/>
              </w:rPr>
              <w:t>COD、NH</w:t>
            </w:r>
            <w:r>
              <w:rPr>
                <w:rFonts w:hint="eastAsia"/>
                <w:vertAlign w:val="subscript"/>
              </w:rPr>
              <w:t>3</w:t>
            </w:r>
            <w:r>
              <w:rPr>
                <w:rFonts w:hint="eastAsia"/>
              </w:rPr>
              <w:t>-N</w:t>
            </w:r>
          </w:p>
        </w:tc>
        <w:tc>
          <w:tcPr>
            <w:tcW w:w="1880" w:type="pct"/>
            <w:vAlign w:val="center"/>
          </w:tcPr>
          <w:p w14:paraId="4769288D">
            <w:pPr>
              <w:adjustRightInd w:val="0"/>
              <w:snapToGrid w:val="0"/>
              <w:jc w:val="center"/>
            </w:pPr>
            <w:r>
              <w:t>水帘喷淋废水经絮凝沉淀、打捞沉渣后循环使用到不能再适合使用后</w:t>
            </w:r>
            <w:r>
              <w:rPr>
                <w:rFonts w:hint="eastAsia"/>
              </w:rPr>
              <w:t>纳管排放，生活污水经园区内现有化粪池、隔油池预处理后纳管排放</w:t>
            </w:r>
          </w:p>
        </w:tc>
        <w:tc>
          <w:tcPr>
            <w:tcW w:w="1136" w:type="pct"/>
            <w:shd w:val="clear" w:color="auto" w:fill="auto"/>
            <w:vAlign w:val="center"/>
          </w:tcPr>
          <w:p w14:paraId="28457221">
            <w:pPr>
              <w:adjustRightInd w:val="0"/>
              <w:snapToGrid w:val="0"/>
              <w:jc w:val="center"/>
              <w:rPr>
                <w:highlight w:val="yellow"/>
              </w:rPr>
            </w:pPr>
            <w:r>
              <w:rPr>
                <w:rFonts w:hint="eastAsia"/>
              </w:rPr>
              <w:t>GB8978-1996《污水综合排放标准》三级标准、《工业企业废水氮、磷污染物间接排放限值》（DB33_887-2013 ）</w:t>
            </w:r>
          </w:p>
        </w:tc>
      </w:tr>
      <w:tr w14:paraId="0AC35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4" w:type="pct"/>
            <w:vAlign w:val="center"/>
          </w:tcPr>
          <w:p w14:paraId="04F1C926">
            <w:pPr>
              <w:adjustRightInd w:val="0"/>
              <w:snapToGrid w:val="0"/>
              <w:jc w:val="center"/>
            </w:pPr>
            <w:r>
              <w:t>声环境</w:t>
            </w:r>
          </w:p>
        </w:tc>
        <w:tc>
          <w:tcPr>
            <w:tcW w:w="730" w:type="pct"/>
            <w:vAlign w:val="center"/>
          </w:tcPr>
          <w:p w14:paraId="4ABE7D16">
            <w:pPr>
              <w:adjustRightInd w:val="0"/>
              <w:snapToGrid w:val="0"/>
              <w:jc w:val="center"/>
            </w:pPr>
            <w:r>
              <w:t>噪声</w:t>
            </w:r>
          </w:p>
        </w:tc>
        <w:tc>
          <w:tcPr>
            <w:tcW w:w="478" w:type="pct"/>
            <w:vAlign w:val="center"/>
          </w:tcPr>
          <w:p w14:paraId="08D19D5F">
            <w:pPr>
              <w:adjustRightInd w:val="0"/>
              <w:snapToGrid w:val="0"/>
              <w:jc w:val="center"/>
            </w:pPr>
            <w:r>
              <w:t>Leq（A）</w:t>
            </w:r>
          </w:p>
        </w:tc>
        <w:tc>
          <w:tcPr>
            <w:tcW w:w="1880" w:type="pct"/>
            <w:vAlign w:val="center"/>
          </w:tcPr>
          <w:p w14:paraId="6C8EF9F6">
            <w:pPr>
              <w:adjustRightInd w:val="0"/>
              <w:snapToGrid w:val="0"/>
            </w:pPr>
            <w:r>
              <w:rPr>
                <w:rFonts w:hint="eastAsia"/>
              </w:rPr>
              <w:t>（1）选用噪声低、振动小的设备。</w:t>
            </w:r>
          </w:p>
          <w:p w14:paraId="441831E7">
            <w:pPr>
              <w:adjustRightInd w:val="0"/>
              <w:snapToGrid w:val="0"/>
            </w:pPr>
            <w:r>
              <w:rPr>
                <w:rFonts w:hint="eastAsia"/>
              </w:rPr>
              <w:t>（2）生产车间安装隔声门窗，生产时尽可能保持门窗关闭状态。</w:t>
            </w:r>
          </w:p>
          <w:p w14:paraId="6F3F352B">
            <w:pPr>
              <w:adjustRightInd w:val="0"/>
              <w:snapToGrid w:val="0"/>
            </w:pPr>
            <w:r>
              <w:rPr>
                <w:rFonts w:hint="eastAsia"/>
              </w:rPr>
              <w:t>（3）针对放置于室外的污染治理设施风机，要求在风机外设置隔声罩，污染处理设施安装时，底部需配置阻尼减震设施。</w:t>
            </w:r>
          </w:p>
          <w:p w14:paraId="66E7B30C">
            <w:pPr>
              <w:adjustRightInd w:val="0"/>
              <w:snapToGrid w:val="0"/>
            </w:pPr>
            <w:r>
              <w:rPr>
                <w:rFonts w:hint="eastAsia"/>
              </w:rPr>
              <w:t>（4）加强设备日常检修和维护，确保设备处于良好的运转状态，杜绝因设备不正常运转时产生的高噪声现象。</w:t>
            </w:r>
          </w:p>
          <w:p w14:paraId="61CCBA16">
            <w:pPr>
              <w:adjustRightInd w:val="0"/>
              <w:snapToGrid w:val="0"/>
            </w:pPr>
            <w:r>
              <w:rPr>
                <w:rFonts w:hint="eastAsia"/>
              </w:rPr>
              <w:t>（5）加强工人的生产操作管理，减少或降低人为噪声的产生</w:t>
            </w:r>
            <w:r>
              <w:t>。</w:t>
            </w:r>
          </w:p>
        </w:tc>
        <w:tc>
          <w:tcPr>
            <w:tcW w:w="1136" w:type="pct"/>
            <w:vAlign w:val="center"/>
          </w:tcPr>
          <w:p w14:paraId="060BB8F6">
            <w:pPr>
              <w:adjustRightInd w:val="0"/>
              <w:snapToGrid w:val="0"/>
              <w:jc w:val="center"/>
            </w:pPr>
            <w:r>
              <w:t>GB12348-2008《工业企业厂界环境噪声排放标准》</w:t>
            </w:r>
            <w:r>
              <w:rPr>
                <w:rFonts w:hint="eastAsia"/>
              </w:rPr>
              <w:t>3类声</w:t>
            </w:r>
            <w:r>
              <w:t>功能区标准</w:t>
            </w:r>
          </w:p>
        </w:tc>
      </w:tr>
      <w:tr w14:paraId="56F99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4" w:type="pct"/>
            <w:vAlign w:val="center"/>
          </w:tcPr>
          <w:p w14:paraId="02CB587A">
            <w:pPr>
              <w:adjustRightInd w:val="0"/>
              <w:snapToGrid w:val="0"/>
              <w:jc w:val="center"/>
            </w:pPr>
            <w:r>
              <w:t>固体废物</w:t>
            </w:r>
          </w:p>
        </w:tc>
        <w:tc>
          <w:tcPr>
            <w:tcW w:w="4225" w:type="pct"/>
            <w:gridSpan w:val="4"/>
            <w:vAlign w:val="center"/>
          </w:tcPr>
          <w:p w14:paraId="4E0DEDCD">
            <w:pPr>
              <w:adjustRightInd w:val="0"/>
              <w:snapToGrid w:val="0"/>
              <w:spacing w:line="360" w:lineRule="auto"/>
            </w:pPr>
            <w:r>
              <w:t>1、</w:t>
            </w:r>
            <w:r>
              <w:rPr>
                <w:rFonts w:hint="eastAsia"/>
              </w:rPr>
              <w:t>边角料、废布料、废皮革、废木屑等一般工业固废收集后</w:t>
            </w:r>
            <w:r>
              <w:rPr>
                <w:kern w:val="0"/>
              </w:rPr>
              <w:t>委托有关单位综合利用或处置</w:t>
            </w:r>
            <w:r>
              <w:rPr>
                <w:rFonts w:hint="eastAsia"/>
              </w:rPr>
              <w:t>；漆渣、废油漆桶等危险废物委托有资质单位无害化处置；废活性由绿岛单位集中回收处置</w:t>
            </w:r>
            <w:r>
              <w:t>；</w:t>
            </w:r>
            <w:r>
              <w:rPr>
                <w:rFonts w:hint="eastAsia"/>
              </w:rPr>
              <w:t>生活垃圾由环卫部门统一清运。</w:t>
            </w:r>
          </w:p>
          <w:p w14:paraId="0768B522">
            <w:pPr>
              <w:adjustRightInd w:val="0"/>
              <w:snapToGrid w:val="0"/>
              <w:spacing w:line="360" w:lineRule="auto"/>
            </w:pPr>
            <w:r>
              <w:t>2、危废厂内暂存期间，企业在厂区内按危废贮存要求妥善保管、封存，并做好相应场所的防渗、防漏工作。</w:t>
            </w:r>
          </w:p>
        </w:tc>
      </w:tr>
    </w:tbl>
    <w:p w14:paraId="3FA7C6A9">
      <w:pPr>
        <w:pStyle w:val="34"/>
        <w:sectPr>
          <w:pgSz w:w="11906" w:h="16838"/>
          <w:pgMar w:top="1418" w:right="1230" w:bottom="1418" w:left="1134" w:header="851" w:footer="992" w:gutter="0"/>
          <w:pgNumType w:fmt="decimal"/>
          <w:cols w:space="425" w:num="1"/>
          <w:docGrid w:type="linesAndChars" w:linePitch="312" w:charSpace="0"/>
        </w:sectPr>
      </w:pPr>
    </w:p>
    <w:p w14:paraId="227D1B29">
      <w:pPr>
        <w:pStyle w:val="3"/>
        <w:spacing w:line="360" w:lineRule="auto"/>
        <w:jc w:val="left"/>
      </w:pPr>
      <w:r>
        <w:rPr>
          <w:rFonts w:hint="eastAsia"/>
        </w:rPr>
        <w:t>附件2 水性漆VOCs检测报告</w:t>
      </w:r>
    </w:p>
    <w:p w14:paraId="3487BE99">
      <w:r>
        <w:drawing>
          <wp:inline distT="0" distB="0" distL="114300" distR="114300">
            <wp:extent cx="5647055" cy="7986395"/>
            <wp:effectExtent l="0" t="0" r="6985" b="14605"/>
            <wp:docPr id="20" name="图片 20" descr="检测报告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检测报告_00"/>
                    <pic:cNvPicPr>
                      <a:picLocks noChangeAspect="1"/>
                    </pic:cNvPicPr>
                  </pic:nvPicPr>
                  <pic:blipFill>
                    <a:blip r:embed="rId17"/>
                    <a:stretch>
                      <a:fillRect/>
                    </a:stretch>
                  </pic:blipFill>
                  <pic:spPr>
                    <a:xfrm>
                      <a:off x="0" y="0"/>
                      <a:ext cx="5647055" cy="7986395"/>
                    </a:xfrm>
                    <a:prstGeom prst="rect">
                      <a:avLst/>
                    </a:prstGeom>
                  </pic:spPr>
                </pic:pic>
              </a:graphicData>
            </a:graphic>
          </wp:inline>
        </w:drawing>
      </w:r>
      <w:r>
        <w:drawing>
          <wp:inline distT="0" distB="0" distL="114300" distR="114300">
            <wp:extent cx="6056630" cy="8564880"/>
            <wp:effectExtent l="0" t="0" r="8890" b="0"/>
            <wp:docPr id="19" name="图片 19" descr="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检测报告_01"/>
                    <pic:cNvPicPr>
                      <a:picLocks noChangeAspect="1"/>
                    </pic:cNvPicPr>
                  </pic:nvPicPr>
                  <pic:blipFill>
                    <a:blip r:embed="rId18"/>
                    <a:stretch>
                      <a:fillRect/>
                    </a:stretch>
                  </pic:blipFill>
                  <pic:spPr>
                    <a:xfrm>
                      <a:off x="0" y="0"/>
                      <a:ext cx="6056630" cy="8564880"/>
                    </a:xfrm>
                    <a:prstGeom prst="rect">
                      <a:avLst/>
                    </a:prstGeom>
                  </pic:spPr>
                </pic:pic>
              </a:graphicData>
            </a:graphic>
          </wp:inline>
        </w:drawing>
      </w:r>
      <w:r>
        <w:drawing>
          <wp:inline distT="0" distB="0" distL="114300" distR="114300">
            <wp:extent cx="6056630" cy="8564880"/>
            <wp:effectExtent l="0" t="0" r="8890" b="0"/>
            <wp:docPr id="18" name="图片 18" descr="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检测报告_02"/>
                    <pic:cNvPicPr>
                      <a:picLocks noChangeAspect="1"/>
                    </pic:cNvPicPr>
                  </pic:nvPicPr>
                  <pic:blipFill>
                    <a:blip r:embed="rId19"/>
                    <a:stretch>
                      <a:fillRect/>
                    </a:stretch>
                  </pic:blipFill>
                  <pic:spPr>
                    <a:xfrm>
                      <a:off x="0" y="0"/>
                      <a:ext cx="6056630" cy="8564880"/>
                    </a:xfrm>
                    <a:prstGeom prst="rect">
                      <a:avLst/>
                    </a:prstGeom>
                  </pic:spPr>
                </pic:pic>
              </a:graphicData>
            </a:graphic>
          </wp:inline>
        </w:drawing>
      </w:r>
      <w:r>
        <w:drawing>
          <wp:inline distT="0" distB="0" distL="114300" distR="114300">
            <wp:extent cx="6056630" cy="8564880"/>
            <wp:effectExtent l="0" t="0" r="8890" b="0"/>
            <wp:docPr id="5" name="图片 5" descr="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检测报告_03"/>
                    <pic:cNvPicPr>
                      <a:picLocks noChangeAspect="1"/>
                    </pic:cNvPicPr>
                  </pic:nvPicPr>
                  <pic:blipFill>
                    <a:blip r:embed="rId20"/>
                    <a:stretch>
                      <a:fillRect/>
                    </a:stretch>
                  </pic:blipFill>
                  <pic:spPr>
                    <a:xfrm>
                      <a:off x="0" y="0"/>
                      <a:ext cx="6056630" cy="8564880"/>
                    </a:xfrm>
                    <a:prstGeom prst="rect">
                      <a:avLst/>
                    </a:prstGeom>
                  </pic:spPr>
                </pic:pic>
              </a:graphicData>
            </a:graphic>
          </wp:inline>
        </w:drawing>
      </w:r>
      <w:r>
        <w:drawing>
          <wp:inline distT="0" distB="0" distL="114300" distR="114300">
            <wp:extent cx="6056630" cy="8564880"/>
            <wp:effectExtent l="0" t="0" r="8890" b="0"/>
            <wp:docPr id="1" name="图片 1" descr="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检测报告_04"/>
                    <pic:cNvPicPr>
                      <a:picLocks noChangeAspect="1"/>
                    </pic:cNvPicPr>
                  </pic:nvPicPr>
                  <pic:blipFill>
                    <a:blip r:embed="rId21"/>
                    <a:stretch>
                      <a:fillRect/>
                    </a:stretch>
                  </pic:blipFill>
                  <pic:spPr>
                    <a:xfrm>
                      <a:off x="0" y="0"/>
                      <a:ext cx="6056630" cy="8564880"/>
                    </a:xfrm>
                    <a:prstGeom prst="rect">
                      <a:avLst/>
                    </a:prstGeom>
                  </pic:spPr>
                </pic:pic>
              </a:graphicData>
            </a:graphic>
          </wp:inline>
        </w:drawing>
      </w:r>
    </w:p>
    <w:p w14:paraId="26EBB9A8">
      <w:pPr>
        <w:pStyle w:val="3"/>
        <w:spacing w:line="360" w:lineRule="auto"/>
        <w:jc w:val="left"/>
        <w:rPr>
          <w:rFonts w:hint="default" w:eastAsia="宋体"/>
          <w:lang w:val="en-US" w:eastAsia="zh-CN"/>
        </w:rPr>
      </w:pPr>
      <w:r>
        <w:rPr>
          <w:rFonts w:hint="eastAsia"/>
        </w:rPr>
        <w:t>附件</w:t>
      </w:r>
      <w:r>
        <w:rPr>
          <w:rFonts w:hint="eastAsia"/>
          <w:lang w:val="en-US" w:eastAsia="zh-CN"/>
        </w:rPr>
        <w:t>3</w:t>
      </w:r>
      <w:r>
        <w:rPr>
          <w:rFonts w:hint="eastAsia"/>
        </w:rPr>
        <w:t xml:space="preserve"> 水性漆</w:t>
      </w:r>
      <w:r>
        <w:rPr>
          <w:rFonts w:hint="eastAsia"/>
          <w:lang w:val="en-US" w:eastAsia="zh-CN"/>
        </w:rPr>
        <w:t>安全技术说明书（MSDS）</w:t>
      </w:r>
    </w:p>
    <w:p w14:paraId="3918FEB6">
      <w:pPr>
        <w:rPr>
          <w:rFonts w:hint="eastAsia" w:eastAsia="宋体"/>
          <w:lang w:eastAsia="zh-CN"/>
        </w:rPr>
      </w:pPr>
      <w:r>
        <w:rPr>
          <w:rFonts w:hint="eastAsia" w:eastAsia="宋体"/>
          <w:lang w:eastAsia="zh-CN"/>
        </w:rPr>
        <w:drawing>
          <wp:inline distT="0" distB="0" distL="114300" distR="114300">
            <wp:extent cx="6054725" cy="7835265"/>
            <wp:effectExtent l="0" t="0" r="10795" b="13335"/>
            <wp:docPr id="31" name="图片 31" descr="WAD9023S-2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WAD9023S-20_00"/>
                    <pic:cNvPicPr>
                      <a:picLocks noChangeAspect="1"/>
                    </pic:cNvPicPr>
                  </pic:nvPicPr>
                  <pic:blipFill>
                    <a:blip r:embed="rId22"/>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30" name="图片 30" descr="WAD9023S-2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WAD9023S-20_01"/>
                    <pic:cNvPicPr>
                      <a:picLocks noChangeAspect="1"/>
                    </pic:cNvPicPr>
                  </pic:nvPicPr>
                  <pic:blipFill>
                    <a:blip r:embed="rId23"/>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9" name="图片 29" descr="WAD9023S-20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WAD9023S-20_02"/>
                    <pic:cNvPicPr>
                      <a:picLocks noChangeAspect="1"/>
                    </pic:cNvPicPr>
                  </pic:nvPicPr>
                  <pic:blipFill>
                    <a:blip r:embed="rId24"/>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8" name="图片 28" descr="WAD9023S-20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WAD9023S-20_03"/>
                    <pic:cNvPicPr>
                      <a:picLocks noChangeAspect="1"/>
                    </pic:cNvPicPr>
                  </pic:nvPicPr>
                  <pic:blipFill>
                    <a:blip r:embed="rId25"/>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7" name="图片 27" descr="WAD9023S-20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WAD9023S-20_04"/>
                    <pic:cNvPicPr>
                      <a:picLocks noChangeAspect="1"/>
                    </pic:cNvPicPr>
                  </pic:nvPicPr>
                  <pic:blipFill>
                    <a:blip r:embed="rId26"/>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6" name="图片 26" descr="WAD9023S-20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WAD9023S-20_05"/>
                    <pic:cNvPicPr>
                      <a:picLocks noChangeAspect="1"/>
                    </pic:cNvPicPr>
                  </pic:nvPicPr>
                  <pic:blipFill>
                    <a:blip r:embed="rId27"/>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4" name="图片 24" descr="WAD9023S-20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WAD9023S-20_06"/>
                    <pic:cNvPicPr>
                      <a:picLocks noChangeAspect="1"/>
                    </pic:cNvPicPr>
                  </pic:nvPicPr>
                  <pic:blipFill>
                    <a:blip r:embed="rId28"/>
                    <a:stretch>
                      <a:fillRect/>
                    </a:stretch>
                  </pic:blipFill>
                  <pic:spPr>
                    <a:xfrm>
                      <a:off x="0" y="0"/>
                      <a:ext cx="6054725" cy="7835265"/>
                    </a:xfrm>
                    <a:prstGeom prst="rect">
                      <a:avLst/>
                    </a:prstGeom>
                  </pic:spPr>
                </pic:pic>
              </a:graphicData>
            </a:graphic>
          </wp:inline>
        </w:drawing>
      </w:r>
      <w:r>
        <w:rPr>
          <w:rFonts w:hint="eastAsia" w:eastAsia="宋体"/>
          <w:lang w:eastAsia="zh-CN"/>
        </w:rPr>
        <w:drawing>
          <wp:inline distT="0" distB="0" distL="114300" distR="114300">
            <wp:extent cx="6054725" cy="7835265"/>
            <wp:effectExtent l="0" t="0" r="10795" b="13335"/>
            <wp:docPr id="23" name="图片 23" descr="WAD9023S-20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AD9023S-20_07"/>
                    <pic:cNvPicPr>
                      <a:picLocks noChangeAspect="1"/>
                    </pic:cNvPicPr>
                  </pic:nvPicPr>
                  <pic:blipFill>
                    <a:blip r:embed="rId29"/>
                    <a:stretch>
                      <a:fillRect/>
                    </a:stretch>
                  </pic:blipFill>
                  <pic:spPr>
                    <a:xfrm>
                      <a:off x="0" y="0"/>
                      <a:ext cx="6054725" cy="7835265"/>
                    </a:xfrm>
                    <a:prstGeom prst="rect">
                      <a:avLst/>
                    </a:prstGeom>
                  </pic:spPr>
                </pic:pic>
              </a:graphicData>
            </a:graphic>
          </wp:inline>
        </w:drawing>
      </w:r>
    </w:p>
    <w:sectPr>
      <w:pgSz w:w="11906" w:h="16838"/>
      <w:pgMar w:top="1418" w:right="1230" w:bottom="1418" w:left="1134"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Verdana"/>
    <w:panose1 w:val="02010601000101010101"/>
    <w:charset w:val="00"/>
    <w:family w:val="auto"/>
    <w:pitch w:val="default"/>
    <w:sig w:usb0="00000000" w:usb1="00000000" w:usb2="00000000" w:usb3="00000000" w:csb0="00000000"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7F" w:usb3="00000000" w:csb0="203F01FF" w:csb1="DFFF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DEAF2">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2479C">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5952479C">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BBAF5">
    <w:pPr>
      <w:pStyle w:val="55"/>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FC640">
                          <w:pPr>
                            <w:pStyle w:val="5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F7FC640">
                    <w:pPr>
                      <w:pStyle w:val="5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A5E45">
    <w:pPr>
      <w:pStyle w:val="57"/>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77F530D"/>
    <w:multiLevelType w:val="multilevel"/>
    <w:tmpl w:val="077F530D"/>
    <w:lvl w:ilvl="0" w:tentative="0">
      <w:start w:val="1"/>
      <w:numFmt w:val="decimal"/>
      <w:lvlText w:val="表%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5">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6">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8">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9">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0">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2">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6">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60B75B57"/>
    <w:multiLevelType w:val="singleLevel"/>
    <w:tmpl w:val="60B75B57"/>
    <w:lvl w:ilvl="0" w:tentative="0">
      <w:start w:val="1"/>
      <w:numFmt w:val="decimal"/>
      <w:suff w:val="nothing"/>
      <w:lvlText w:val="（%1）"/>
      <w:lvlJc w:val="left"/>
    </w:lvl>
  </w:abstractNum>
  <w:abstractNum w:abstractNumId="18">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9">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2"/>
  </w:num>
  <w:num w:numId="4">
    <w:abstractNumId w:val="13"/>
  </w:num>
  <w:num w:numId="5">
    <w:abstractNumId w:val="20"/>
  </w:num>
  <w:num w:numId="6">
    <w:abstractNumId w:val="19"/>
  </w:num>
  <w:num w:numId="7">
    <w:abstractNumId w:val="12"/>
  </w:num>
  <w:num w:numId="8">
    <w:abstractNumId w:val="9"/>
  </w:num>
  <w:num w:numId="9">
    <w:abstractNumId w:val="18"/>
  </w:num>
  <w:num w:numId="10">
    <w:abstractNumId w:val="14"/>
  </w:num>
  <w:num w:numId="11">
    <w:abstractNumId w:val="5"/>
  </w:num>
  <w:num w:numId="12">
    <w:abstractNumId w:val="4"/>
  </w:num>
  <w:num w:numId="13">
    <w:abstractNumId w:val="22"/>
  </w:num>
  <w:num w:numId="14">
    <w:abstractNumId w:val="8"/>
  </w:num>
  <w:num w:numId="15">
    <w:abstractNumId w:val="15"/>
  </w:num>
  <w:num w:numId="16">
    <w:abstractNumId w:val="11"/>
  </w:num>
  <w:num w:numId="17">
    <w:abstractNumId w:val="7"/>
  </w:num>
  <w:num w:numId="18">
    <w:abstractNumId w:val="21"/>
  </w:num>
  <w:num w:numId="19">
    <w:abstractNumId w:val="10"/>
  </w:num>
  <w:num w:numId="20">
    <w:abstractNumId w:val="16"/>
  </w:num>
  <w:num w:numId="21">
    <w:abstractNumId w:val="6"/>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51462C"/>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B3AF5"/>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A37"/>
    <w:rsid w:val="0013412B"/>
    <w:rsid w:val="001404FE"/>
    <w:rsid w:val="001470EE"/>
    <w:rsid w:val="001564E3"/>
    <w:rsid w:val="00157D39"/>
    <w:rsid w:val="0016116F"/>
    <w:rsid w:val="00166521"/>
    <w:rsid w:val="001665FB"/>
    <w:rsid w:val="00167919"/>
    <w:rsid w:val="001707C7"/>
    <w:rsid w:val="00171FBD"/>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5696"/>
    <w:rsid w:val="00251FB0"/>
    <w:rsid w:val="00252352"/>
    <w:rsid w:val="002617F9"/>
    <w:rsid w:val="00270AE5"/>
    <w:rsid w:val="00276D24"/>
    <w:rsid w:val="002804D8"/>
    <w:rsid w:val="00282EA5"/>
    <w:rsid w:val="002972FB"/>
    <w:rsid w:val="002B6776"/>
    <w:rsid w:val="002C464A"/>
    <w:rsid w:val="002C593D"/>
    <w:rsid w:val="002C7BEE"/>
    <w:rsid w:val="002D4D68"/>
    <w:rsid w:val="002E6B82"/>
    <w:rsid w:val="002E745B"/>
    <w:rsid w:val="002E7513"/>
    <w:rsid w:val="00301BB1"/>
    <w:rsid w:val="00302D91"/>
    <w:rsid w:val="003054DB"/>
    <w:rsid w:val="00315C44"/>
    <w:rsid w:val="003172B5"/>
    <w:rsid w:val="003178DC"/>
    <w:rsid w:val="003236E9"/>
    <w:rsid w:val="00333CF5"/>
    <w:rsid w:val="003379CC"/>
    <w:rsid w:val="00340E63"/>
    <w:rsid w:val="0034104C"/>
    <w:rsid w:val="003461CE"/>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1CAF"/>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1462C"/>
    <w:rsid w:val="00515722"/>
    <w:rsid w:val="00517A02"/>
    <w:rsid w:val="0052175D"/>
    <w:rsid w:val="00540ABA"/>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8E1"/>
    <w:rsid w:val="006571BD"/>
    <w:rsid w:val="00662A2C"/>
    <w:rsid w:val="00666485"/>
    <w:rsid w:val="006665BF"/>
    <w:rsid w:val="00671F3A"/>
    <w:rsid w:val="00674264"/>
    <w:rsid w:val="00685943"/>
    <w:rsid w:val="00687812"/>
    <w:rsid w:val="0069595A"/>
    <w:rsid w:val="006B10A2"/>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242C7"/>
    <w:rsid w:val="00733699"/>
    <w:rsid w:val="00733F7E"/>
    <w:rsid w:val="007378A8"/>
    <w:rsid w:val="007414E7"/>
    <w:rsid w:val="00741546"/>
    <w:rsid w:val="00743E76"/>
    <w:rsid w:val="0075162F"/>
    <w:rsid w:val="00753193"/>
    <w:rsid w:val="007569D8"/>
    <w:rsid w:val="0076763B"/>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3F17"/>
    <w:rsid w:val="00903320"/>
    <w:rsid w:val="00907DAE"/>
    <w:rsid w:val="009171EA"/>
    <w:rsid w:val="00946953"/>
    <w:rsid w:val="00946BBD"/>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36BBF"/>
    <w:rsid w:val="00B4569C"/>
    <w:rsid w:val="00B4636A"/>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76F3C"/>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126D"/>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0FF539A"/>
    <w:rsid w:val="016D24B0"/>
    <w:rsid w:val="024A3E4D"/>
    <w:rsid w:val="028D7FFB"/>
    <w:rsid w:val="03307DFB"/>
    <w:rsid w:val="03AF1619"/>
    <w:rsid w:val="03DC0B28"/>
    <w:rsid w:val="047A13D2"/>
    <w:rsid w:val="048821DC"/>
    <w:rsid w:val="06D64B9B"/>
    <w:rsid w:val="08DA3A30"/>
    <w:rsid w:val="09E319A6"/>
    <w:rsid w:val="0A8E6594"/>
    <w:rsid w:val="0D000FC1"/>
    <w:rsid w:val="0E5377B4"/>
    <w:rsid w:val="0F515F54"/>
    <w:rsid w:val="100C1655"/>
    <w:rsid w:val="104D6442"/>
    <w:rsid w:val="123D7FFC"/>
    <w:rsid w:val="12C527A4"/>
    <w:rsid w:val="1573347F"/>
    <w:rsid w:val="162A27D6"/>
    <w:rsid w:val="16414353"/>
    <w:rsid w:val="180127AB"/>
    <w:rsid w:val="19276786"/>
    <w:rsid w:val="1A4140A7"/>
    <w:rsid w:val="1ACD4DAA"/>
    <w:rsid w:val="1D7D0117"/>
    <w:rsid w:val="23F3095D"/>
    <w:rsid w:val="248D34F0"/>
    <w:rsid w:val="28E236BB"/>
    <w:rsid w:val="29D11A3A"/>
    <w:rsid w:val="2C3F40DB"/>
    <w:rsid w:val="2E117910"/>
    <w:rsid w:val="2F990904"/>
    <w:rsid w:val="307D77BF"/>
    <w:rsid w:val="3255570C"/>
    <w:rsid w:val="33505B52"/>
    <w:rsid w:val="35C2069F"/>
    <w:rsid w:val="36160F42"/>
    <w:rsid w:val="36D17E03"/>
    <w:rsid w:val="37B67330"/>
    <w:rsid w:val="38F20A2A"/>
    <w:rsid w:val="3C751F72"/>
    <w:rsid w:val="3D4D2EC2"/>
    <w:rsid w:val="3E9C6B44"/>
    <w:rsid w:val="3F286127"/>
    <w:rsid w:val="417246F3"/>
    <w:rsid w:val="44ED7EEE"/>
    <w:rsid w:val="459D6F30"/>
    <w:rsid w:val="469F4AE5"/>
    <w:rsid w:val="47514302"/>
    <w:rsid w:val="47B82705"/>
    <w:rsid w:val="47D61042"/>
    <w:rsid w:val="4B3E553B"/>
    <w:rsid w:val="4BFB49C8"/>
    <w:rsid w:val="4F607759"/>
    <w:rsid w:val="52C73D8B"/>
    <w:rsid w:val="534C4133"/>
    <w:rsid w:val="53770E5F"/>
    <w:rsid w:val="540841E9"/>
    <w:rsid w:val="545011EB"/>
    <w:rsid w:val="54CA14CF"/>
    <w:rsid w:val="55D574D1"/>
    <w:rsid w:val="569A0C70"/>
    <w:rsid w:val="580B6B89"/>
    <w:rsid w:val="58F37560"/>
    <w:rsid w:val="594900D9"/>
    <w:rsid w:val="5AED6451"/>
    <w:rsid w:val="5D8A795A"/>
    <w:rsid w:val="5DC20804"/>
    <w:rsid w:val="5F5C006D"/>
    <w:rsid w:val="5FEB344E"/>
    <w:rsid w:val="6129645F"/>
    <w:rsid w:val="613018F9"/>
    <w:rsid w:val="62EB7886"/>
    <w:rsid w:val="632359A3"/>
    <w:rsid w:val="633C6226"/>
    <w:rsid w:val="65B260E9"/>
    <w:rsid w:val="65DA6FA5"/>
    <w:rsid w:val="65F468A7"/>
    <w:rsid w:val="679C50B6"/>
    <w:rsid w:val="68201851"/>
    <w:rsid w:val="6B8E1260"/>
    <w:rsid w:val="6C607CC3"/>
    <w:rsid w:val="6C7B61C5"/>
    <w:rsid w:val="6D5B59AA"/>
    <w:rsid w:val="6E196C63"/>
    <w:rsid w:val="6ED547AD"/>
    <w:rsid w:val="6EF667ED"/>
    <w:rsid w:val="7249105D"/>
    <w:rsid w:val="72FD0776"/>
    <w:rsid w:val="740F5ADE"/>
    <w:rsid w:val="751354B8"/>
    <w:rsid w:val="7962237D"/>
    <w:rsid w:val="7A5F2593"/>
    <w:rsid w:val="7A7E219D"/>
    <w:rsid w:val="7E525E1A"/>
    <w:rsid w:val="7E5A4CCF"/>
    <w:rsid w:val="7EC23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78"/>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9"/>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0"/>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8"/>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0"/>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1"/>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2"/>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3"/>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4"/>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autoRedefine/>
    <w:qFormat/>
    <w:uiPriority w:val="0"/>
    <w:pPr>
      <w:widowControl/>
      <w:spacing w:line="360" w:lineRule="auto"/>
      <w:ind w:firstLine="480" w:firstLineChars="200"/>
    </w:pPr>
    <w:rPr>
      <w:szCs w:val="20"/>
    </w:rPr>
  </w:style>
  <w:style w:type="paragraph" w:styleId="22">
    <w:name w:val="caption"/>
    <w:basedOn w:val="1"/>
    <w:next w:val="1"/>
    <w:link w:val="186"/>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6"/>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7"/>
    <w:autoRedefine/>
    <w:qFormat/>
    <w:uiPriority w:val="0"/>
    <w:rPr>
      <w:sz w:val="28"/>
      <w:szCs w:val="24"/>
      <w:lang w:val="zh-CN"/>
    </w:rPr>
  </w:style>
  <w:style w:type="paragraph" w:styleId="31">
    <w:name w:val="Body Text 3"/>
    <w:basedOn w:val="1"/>
    <w:link w:val="158"/>
    <w:qFormat/>
    <w:uiPriority w:val="0"/>
    <w:pPr>
      <w:spacing w:after="120"/>
    </w:pPr>
    <w:rPr>
      <w:rFonts w:ascii="Arial" w:hAnsi="Arial"/>
      <w:sz w:val="16"/>
      <w:szCs w:val="16"/>
      <w:lang w:val="zh-CN"/>
    </w:rPr>
  </w:style>
  <w:style w:type="paragraph" w:styleId="32">
    <w:name w:val="Closing"/>
    <w:basedOn w:val="1"/>
    <w:link w:val="188"/>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0"/>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1"/>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9"/>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link w:val="130"/>
    <w:autoRedefine/>
    <w:qFormat/>
    <w:uiPriority w:val="99"/>
    <w:pPr>
      <w:jc w:val="center"/>
    </w:pPr>
    <w:rPr>
      <w:rFonts w:ascii="宋体" w:hAnsi="Courier New"/>
      <w:sz w:val="20"/>
      <w:szCs w:val="20"/>
    </w:rPr>
  </w:style>
  <w:style w:type="paragraph" w:styleId="46">
    <w:name w:val="List Bullet 5"/>
    <w:basedOn w:val="1"/>
    <w:qFormat/>
    <w:uiPriority w:val="0"/>
    <w:pPr>
      <w:ind w:left="2160" w:hanging="360"/>
    </w:pPr>
    <w:rPr>
      <w:szCs w:val="20"/>
      <w:lang w:bidi="he-IL"/>
    </w:rPr>
  </w:style>
  <w:style w:type="paragraph" w:styleId="47">
    <w:name w:val="List Number 4"/>
    <w:basedOn w:val="1"/>
    <w:qFormat/>
    <w:uiPriority w:val="0"/>
    <w:pPr>
      <w:ind w:left="720" w:hanging="360"/>
    </w:pPr>
    <w:rPr>
      <w:szCs w:val="20"/>
      <w:lang w:bidi="he-IL"/>
    </w:rPr>
  </w:style>
  <w:style w:type="paragraph" w:styleId="48">
    <w:name w:val="toc 8"/>
    <w:basedOn w:val="1"/>
    <w:next w:val="1"/>
    <w:qFormat/>
    <w:uiPriority w:val="0"/>
    <w:pPr>
      <w:ind w:left="1680"/>
      <w:jc w:val="left"/>
    </w:pPr>
    <w:rPr>
      <w:rFonts w:ascii="Arial" w:hAnsi="Arial"/>
      <w:sz w:val="18"/>
      <w:szCs w:val="18"/>
    </w:rPr>
  </w:style>
  <w:style w:type="paragraph" w:styleId="49">
    <w:name w:val="index 3"/>
    <w:basedOn w:val="1"/>
    <w:next w:val="1"/>
    <w:qFormat/>
    <w:uiPriority w:val="0"/>
    <w:pPr>
      <w:spacing w:line="360" w:lineRule="auto"/>
      <w:ind w:left="720" w:hanging="240"/>
      <w:jc w:val="left"/>
    </w:pPr>
    <w:rPr>
      <w:sz w:val="18"/>
      <w:szCs w:val="18"/>
    </w:rPr>
  </w:style>
  <w:style w:type="paragraph" w:styleId="50">
    <w:name w:val="Date"/>
    <w:basedOn w:val="1"/>
    <w:next w:val="1"/>
    <w:link w:val="191"/>
    <w:autoRedefine/>
    <w:qFormat/>
    <w:uiPriority w:val="0"/>
    <w:pPr>
      <w:ind w:left="100" w:leftChars="2500"/>
    </w:pPr>
    <w:rPr>
      <w:kern w:val="0"/>
      <w:sz w:val="24"/>
      <w:szCs w:val="20"/>
    </w:rPr>
  </w:style>
  <w:style w:type="paragraph" w:styleId="51">
    <w:name w:val="Body Text Indent 2"/>
    <w:basedOn w:val="1"/>
    <w:link w:val="164"/>
    <w:qFormat/>
    <w:uiPriority w:val="0"/>
    <w:pPr>
      <w:spacing w:after="120" w:line="480" w:lineRule="auto"/>
      <w:ind w:left="420" w:leftChars="200"/>
    </w:pPr>
    <w:rPr>
      <w:rFonts w:ascii="Arial" w:hAnsi="Arial"/>
      <w:sz w:val="24"/>
      <w:szCs w:val="24"/>
      <w:lang w:val="zh-CN"/>
    </w:rPr>
  </w:style>
  <w:style w:type="paragraph" w:styleId="52">
    <w:name w:val="endnote text"/>
    <w:basedOn w:val="1"/>
    <w:link w:val="192"/>
    <w:qFormat/>
    <w:uiPriority w:val="0"/>
    <w:pPr>
      <w:adjustRightInd w:val="0"/>
      <w:snapToGrid w:val="0"/>
      <w:spacing w:before="60"/>
      <w:jc w:val="left"/>
      <w:textAlignment w:val="baseline"/>
    </w:pPr>
    <w:rPr>
      <w:sz w:val="24"/>
      <w:szCs w:val="20"/>
      <w:lang w:val="zh-CN"/>
    </w:rPr>
  </w:style>
  <w:style w:type="paragraph" w:styleId="53">
    <w:name w:val="List Continue 5"/>
    <w:basedOn w:val="1"/>
    <w:autoRedefine/>
    <w:qFormat/>
    <w:uiPriority w:val="0"/>
    <w:pPr>
      <w:spacing w:after="120"/>
      <w:ind w:left="2100" w:leftChars="1000"/>
    </w:pPr>
    <w:rPr>
      <w:szCs w:val="20"/>
      <w:lang w:bidi="he-IL"/>
    </w:rPr>
  </w:style>
  <w:style w:type="paragraph" w:styleId="54">
    <w:name w:val="Balloon Text"/>
    <w:basedOn w:val="1"/>
    <w:link w:val="144"/>
    <w:autoRedefine/>
    <w:unhideWhenUsed/>
    <w:qFormat/>
    <w:uiPriority w:val="0"/>
    <w:rPr>
      <w:sz w:val="18"/>
      <w:szCs w:val="18"/>
    </w:rPr>
  </w:style>
  <w:style w:type="paragraph" w:styleId="55">
    <w:name w:val="footer"/>
    <w:basedOn w:val="1"/>
    <w:link w:val="131"/>
    <w:autoRedefine/>
    <w:qFormat/>
    <w:uiPriority w:val="99"/>
    <w:pPr>
      <w:tabs>
        <w:tab w:val="center" w:pos="4153"/>
        <w:tab w:val="right" w:pos="8306"/>
      </w:tabs>
      <w:snapToGrid w:val="0"/>
      <w:jc w:val="left"/>
    </w:pPr>
    <w:rPr>
      <w:rFonts w:ascii="Arial" w:hAnsi="Arial"/>
      <w:sz w:val="18"/>
      <w:szCs w:val="18"/>
    </w:rPr>
  </w:style>
  <w:style w:type="paragraph" w:styleId="56">
    <w:name w:val="envelope return"/>
    <w:basedOn w:val="1"/>
    <w:autoRedefine/>
    <w:qFormat/>
    <w:uiPriority w:val="0"/>
    <w:pPr>
      <w:snapToGrid w:val="0"/>
    </w:pPr>
    <w:rPr>
      <w:rFonts w:ascii="Arial" w:hAnsi="Arial" w:cs="Arial"/>
      <w:szCs w:val="20"/>
      <w:lang w:bidi="he-IL"/>
    </w:rPr>
  </w:style>
  <w:style w:type="paragraph" w:styleId="57">
    <w:name w:val="header"/>
    <w:basedOn w:val="1"/>
    <w:link w:val="132"/>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8">
    <w:name w:val="Signature"/>
    <w:basedOn w:val="1"/>
    <w:link w:val="194"/>
    <w:qFormat/>
    <w:uiPriority w:val="0"/>
    <w:pPr>
      <w:ind w:left="100" w:leftChars="2100"/>
    </w:pPr>
    <w:rPr>
      <w:szCs w:val="20"/>
      <w:lang w:val="zh-CN" w:bidi="he-IL"/>
    </w:rPr>
  </w:style>
  <w:style w:type="paragraph" w:styleId="59">
    <w:name w:val="toc 1"/>
    <w:basedOn w:val="1"/>
    <w:next w:val="1"/>
    <w:autoRedefine/>
    <w:unhideWhenUsed/>
    <w:qFormat/>
    <w:uiPriority w:val="39"/>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5"/>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6"/>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9"/>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7"/>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0"/>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8"/>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9"/>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3"/>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autoRedefine/>
    <w:unhideWhenUsed/>
    <w:qFormat/>
    <w:uiPriority w:val="0"/>
    <w:rPr>
      <w:b/>
      <w:bCs/>
    </w:rPr>
  </w:style>
  <w:style w:type="paragraph" w:styleId="86">
    <w:name w:val="Body Text First Indent"/>
    <w:basedOn w:val="34"/>
    <w:link w:val="174"/>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5"/>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autoRedefine/>
    <w:qFormat/>
    <w:uiPriority w:val="0"/>
    <w:pPr>
      <w:tabs>
        <w:tab w:val="left" w:pos="0"/>
      </w:tabs>
    </w:p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autoRedefine/>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autoRedefine/>
    <w:qFormat/>
    <w:uiPriority w:val="0"/>
    <w:pPr>
      <w:ind w:firstLine="480" w:firstLineChars="200"/>
    </w:pPr>
    <w:rPr>
      <w:rFonts w:ascii="Calibri" w:hAnsi="Calibri" w:eastAsia="楷体"/>
      <w:sz w:val="24"/>
      <w:szCs w:val="24"/>
    </w:rPr>
  </w:style>
  <w:style w:type="character" w:customStyle="1" w:styleId="121">
    <w:name w:val="正文首行缩进2个字 Char Char"/>
    <w:link w:val="120"/>
    <w:autoRedefine/>
    <w:qFormat/>
    <w:uiPriority w:val="0"/>
    <w:rPr>
      <w:rFonts w:ascii="Calibri" w:hAnsi="Calibri" w:eastAsia="楷体" w:cs="Times New Roman"/>
      <w:sz w:val="24"/>
      <w:szCs w:val="24"/>
    </w:rPr>
  </w:style>
  <w:style w:type="paragraph" w:customStyle="1" w:styleId="122">
    <w:name w:val="①报告表正文"/>
    <w:basedOn w:val="1"/>
    <w:autoRedefine/>
    <w:qFormat/>
    <w:uiPriority w:val="0"/>
    <w:pPr>
      <w:spacing w:line="360" w:lineRule="auto"/>
      <w:ind w:firstLine="200" w:firstLineChars="200"/>
    </w:pPr>
    <w:rPr>
      <w:sz w:val="24"/>
      <w:szCs w:val="24"/>
    </w:rPr>
  </w:style>
  <w:style w:type="character" w:customStyle="1" w:styleId="123">
    <w:name w:val="⑥b表头 字符"/>
    <w:link w:val="118"/>
    <w:autoRedefine/>
    <w:qFormat/>
    <w:uiPriority w:val="0"/>
    <w:rPr>
      <w:rFonts w:ascii="Times New Roman" w:hAnsi="Times New Roman" w:eastAsia="宋体" w:cs="Times New Roman"/>
      <w:b/>
      <w:kern w:val="2"/>
      <w:sz w:val="21"/>
      <w:szCs w:val="21"/>
      <w:lang w:val="zh-CN"/>
    </w:rPr>
  </w:style>
  <w:style w:type="paragraph" w:customStyle="1" w:styleId="124">
    <w:name w:val="④表格内容"/>
    <w:basedOn w:val="1"/>
    <w:autoRedefine/>
    <w:qFormat/>
    <w:uiPriority w:val="0"/>
    <w:pPr>
      <w:widowControl/>
      <w:jc w:val="center"/>
    </w:pPr>
    <w:rPr>
      <w:kern w:val="0"/>
      <w:sz w:val="18"/>
    </w:rPr>
  </w:style>
  <w:style w:type="paragraph" w:customStyle="1" w:styleId="125">
    <w:name w:val="②表头"/>
    <w:basedOn w:val="1"/>
    <w:link w:val="126"/>
    <w:autoRedefine/>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autoRedefine/>
    <w:qFormat/>
    <w:uiPriority w:val="0"/>
    <w:rPr>
      <w:rFonts w:ascii="Times New Roman" w:hAnsi="Times New Roman" w:eastAsia="宋体" w:cs="Times New Roman"/>
      <w:b/>
      <w:kern w:val="2"/>
      <w:sz w:val="21"/>
      <w:szCs w:val="21"/>
      <w:lang w:val="zh-CN"/>
    </w:rPr>
  </w:style>
  <w:style w:type="paragraph" w:customStyle="1" w:styleId="127">
    <w:name w:val="③a小标题"/>
    <w:basedOn w:val="1"/>
    <w:link w:val="128"/>
    <w:autoRedefine/>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autoRedefine/>
    <w:qFormat/>
    <w:uiPriority w:val="0"/>
    <w:rPr>
      <w:rFonts w:ascii="Times New Roman" w:hAnsi="Times New Roman" w:eastAsia="宋体" w:cs="Times New Roman"/>
      <w:b/>
      <w:kern w:val="2"/>
      <w:sz w:val="24"/>
      <w:szCs w:val="24"/>
    </w:rPr>
  </w:style>
  <w:style w:type="character" w:customStyle="1" w:styleId="129">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autoRedefine/>
    <w:qFormat/>
    <w:uiPriority w:val="0"/>
    <w:rPr>
      <w:rFonts w:ascii="宋体" w:hAnsi="Courier New" w:eastAsia="宋体" w:cs="Times New Roman"/>
      <w:sz w:val="20"/>
      <w:szCs w:val="20"/>
    </w:rPr>
  </w:style>
  <w:style w:type="character" w:customStyle="1" w:styleId="131">
    <w:name w:val="页脚 字符"/>
    <w:basedOn w:val="98"/>
    <w:link w:val="55"/>
    <w:autoRedefine/>
    <w:qFormat/>
    <w:uiPriority w:val="99"/>
    <w:rPr>
      <w:rFonts w:ascii="Arial" w:hAnsi="Arial" w:eastAsia="宋体" w:cs="Times New Roman"/>
      <w:sz w:val="18"/>
      <w:szCs w:val="18"/>
    </w:rPr>
  </w:style>
  <w:style w:type="character" w:customStyle="1" w:styleId="132">
    <w:name w:val="页眉 字符"/>
    <w:basedOn w:val="98"/>
    <w:link w:val="57"/>
    <w:autoRedefine/>
    <w:qFormat/>
    <w:uiPriority w:val="99"/>
    <w:rPr>
      <w:rFonts w:ascii="Arial" w:hAnsi="Arial" w:eastAsia="宋体" w:cs="Times New Roman"/>
      <w:sz w:val="18"/>
      <w:szCs w:val="18"/>
    </w:rPr>
  </w:style>
  <w:style w:type="paragraph" w:customStyle="1" w:styleId="133">
    <w:name w:val="表格"/>
    <w:basedOn w:val="45"/>
    <w:next w:val="1"/>
    <w:link w:val="233"/>
    <w:qFormat/>
    <w:uiPriority w:val="0"/>
    <w:rPr>
      <w:rFonts w:ascii="Times New Roman" w:hAnsi="Times New Roman"/>
      <w:sz w:val="21"/>
    </w:rPr>
  </w:style>
  <w:style w:type="paragraph" w:customStyle="1" w:styleId="134">
    <w:name w:val="正文01"/>
    <w:basedOn w:val="1"/>
    <w:link w:val="135"/>
    <w:autoRedefine/>
    <w:qFormat/>
    <w:uiPriority w:val="0"/>
    <w:pPr>
      <w:spacing w:before="60" w:line="460" w:lineRule="exact"/>
      <w:jc w:val="center"/>
    </w:pPr>
    <w:rPr>
      <w:rFonts w:ascii="Arial" w:hAnsi="Arial"/>
      <w:sz w:val="24"/>
      <w:szCs w:val="24"/>
    </w:rPr>
  </w:style>
  <w:style w:type="character" w:customStyle="1" w:styleId="135">
    <w:name w:val="正文01 Char2"/>
    <w:link w:val="134"/>
    <w:autoRedefine/>
    <w:qFormat/>
    <w:uiPriority w:val="0"/>
    <w:rPr>
      <w:rFonts w:ascii="Arial" w:hAnsi="Arial" w:eastAsia="宋体" w:cs="Times New Roman"/>
      <w:sz w:val="24"/>
      <w:szCs w:val="24"/>
    </w:rPr>
  </w:style>
  <w:style w:type="paragraph" w:styleId="136">
    <w:name w:val="List Paragraph"/>
    <w:basedOn w:val="1"/>
    <w:link w:val="137"/>
    <w:autoRedefine/>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autoRedefine/>
    <w:qFormat/>
    <w:uiPriority w:val="0"/>
    <w:rPr>
      <w:rFonts w:ascii="Times New Roman" w:hAnsi="Times New Roman" w:eastAsia="宋体" w:cs="Times New Roman"/>
      <w:b/>
      <w:kern w:val="2"/>
      <w:sz w:val="24"/>
      <w:szCs w:val="24"/>
    </w:rPr>
  </w:style>
  <w:style w:type="paragraph" w:customStyle="1" w:styleId="140">
    <w:name w:val="xl26"/>
    <w:basedOn w:val="1"/>
    <w:link w:val="27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4"/>
    <w:autoRedefine/>
    <w:qFormat/>
    <w:uiPriority w:val="0"/>
    <w:rPr>
      <w:rFonts w:ascii="Times New Roman" w:hAnsi="Times New Roman" w:eastAsia="宋体" w:cs="Times New Roman"/>
      <w:kern w:val="2"/>
      <w:sz w:val="18"/>
      <w:szCs w:val="18"/>
    </w:rPr>
  </w:style>
  <w:style w:type="character" w:customStyle="1" w:styleId="145">
    <w:name w:val="标题 2 字符"/>
    <w:basedOn w:val="98"/>
    <w:qFormat/>
    <w:uiPriority w:val="0"/>
    <w:rPr>
      <w:rFonts w:asciiTheme="majorHAnsi" w:hAnsiTheme="majorHAnsi" w:eastAsiaTheme="majorEastAsia" w:cstheme="majorBidi"/>
      <w:b/>
      <w:bCs/>
      <w:kern w:val="2"/>
      <w:sz w:val="32"/>
      <w:szCs w:val="32"/>
    </w:rPr>
  </w:style>
  <w:style w:type="character" w:customStyle="1" w:styleId="146">
    <w:name w:val="标题 3 字符"/>
    <w:basedOn w:val="98"/>
    <w:autoRedefine/>
    <w:qFormat/>
    <w:uiPriority w:val="9"/>
    <w:rPr>
      <w:rFonts w:ascii="Times New Roman" w:hAnsi="Times New Roman" w:eastAsia="宋体" w:cs="Times New Roman"/>
      <w:b/>
      <w:bCs/>
      <w:kern w:val="2"/>
      <w:sz w:val="32"/>
      <w:szCs w:val="32"/>
    </w:rPr>
  </w:style>
  <w:style w:type="character" w:customStyle="1" w:styleId="147">
    <w:name w:val="标题 4 字符"/>
    <w:basedOn w:val="98"/>
    <w:qFormat/>
    <w:uiPriority w:val="0"/>
    <w:rPr>
      <w:rFonts w:asciiTheme="majorHAnsi" w:hAnsiTheme="majorHAnsi" w:eastAsiaTheme="majorEastAsia" w:cstheme="majorBidi"/>
      <w:b/>
      <w:bCs/>
      <w:kern w:val="2"/>
      <w:sz w:val="28"/>
      <w:szCs w:val="28"/>
    </w:rPr>
  </w:style>
  <w:style w:type="character" w:customStyle="1" w:styleId="148">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9">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50">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1">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2">
    <w:name w:val="标题 9 字符"/>
    <w:basedOn w:val="98"/>
    <w:qFormat/>
    <w:uiPriority w:val="0"/>
    <w:rPr>
      <w:rFonts w:asciiTheme="majorHAnsi" w:hAnsiTheme="majorHAnsi" w:eastAsiaTheme="majorEastAsia" w:cstheme="majorBidi"/>
      <w:kern w:val="2"/>
      <w:sz w:val="21"/>
      <w:szCs w:val="21"/>
    </w:rPr>
  </w:style>
  <w:style w:type="character" w:customStyle="1" w:styleId="153">
    <w:name w:val="宏文本 字符"/>
    <w:basedOn w:val="98"/>
    <w:qFormat/>
    <w:uiPriority w:val="0"/>
    <w:rPr>
      <w:rFonts w:ascii="Courier New" w:hAnsi="Courier New" w:eastAsia="宋体" w:cs="Courier New"/>
      <w:kern w:val="2"/>
      <w:sz w:val="24"/>
      <w:szCs w:val="24"/>
    </w:rPr>
  </w:style>
  <w:style w:type="character" w:customStyle="1" w:styleId="154">
    <w:name w:val="注释标题 字符"/>
    <w:basedOn w:val="98"/>
    <w:autoRedefine/>
    <w:qFormat/>
    <w:uiPriority w:val="0"/>
    <w:rPr>
      <w:rFonts w:ascii="Times New Roman" w:hAnsi="Times New Roman" w:eastAsia="宋体" w:cs="Times New Roman"/>
      <w:kern w:val="2"/>
      <w:sz w:val="21"/>
      <w:szCs w:val="21"/>
    </w:rPr>
  </w:style>
  <w:style w:type="character" w:customStyle="1" w:styleId="155">
    <w:name w:val="电子邮件签名 字符"/>
    <w:basedOn w:val="98"/>
    <w:qFormat/>
    <w:uiPriority w:val="0"/>
    <w:rPr>
      <w:rFonts w:ascii="Times New Roman" w:hAnsi="Times New Roman" w:eastAsia="宋体" w:cs="Times New Roman"/>
      <w:kern w:val="2"/>
      <w:sz w:val="21"/>
      <w:szCs w:val="21"/>
    </w:rPr>
  </w:style>
  <w:style w:type="character" w:customStyle="1" w:styleId="156">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7">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8">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9">
    <w:name w:val="结束语 字符"/>
    <w:basedOn w:val="98"/>
    <w:autoRedefine/>
    <w:qFormat/>
    <w:uiPriority w:val="0"/>
    <w:rPr>
      <w:rFonts w:ascii="Times New Roman" w:hAnsi="Times New Roman" w:eastAsia="宋体" w:cs="Times New Roman"/>
      <w:kern w:val="2"/>
      <w:sz w:val="21"/>
      <w:szCs w:val="21"/>
    </w:rPr>
  </w:style>
  <w:style w:type="character" w:customStyle="1" w:styleId="160">
    <w:name w:val="正文文本 字符"/>
    <w:basedOn w:val="98"/>
    <w:link w:val="34"/>
    <w:qFormat/>
    <w:uiPriority w:val="0"/>
    <w:rPr>
      <w:rFonts w:ascii="Times New Roman" w:hAnsi="Times New Roman" w:eastAsia="宋体" w:cs="Times New Roman"/>
      <w:sz w:val="18"/>
    </w:rPr>
  </w:style>
  <w:style w:type="character" w:customStyle="1" w:styleId="161">
    <w:name w:val="正文文本缩进 字符"/>
    <w:basedOn w:val="98"/>
    <w:link w:val="35"/>
    <w:qFormat/>
    <w:uiPriority w:val="0"/>
    <w:rPr>
      <w:rFonts w:ascii="Times New Roman" w:hAnsi="Times New Roman" w:eastAsia="宋体" w:cs="Times New Roman"/>
      <w:sz w:val="24"/>
    </w:rPr>
  </w:style>
  <w:style w:type="character" w:customStyle="1" w:styleId="162">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3">
    <w:name w:val="日期 字符"/>
    <w:basedOn w:val="98"/>
    <w:qFormat/>
    <w:uiPriority w:val="0"/>
    <w:rPr>
      <w:rFonts w:ascii="Times New Roman" w:hAnsi="Times New Roman" w:eastAsia="宋体" w:cs="Times New Roman"/>
      <w:kern w:val="2"/>
      <w:sz w:val="21"/>
      <w:szCs w:val="21"/>
    </w:rPr>
  </w:style>
  <w:style w:type="character" w:customStyle="1" w:styleId="164">
    <w:name w:val="正文文本缩进 2 字符"/>
    <w:basedOn w:val="98"/>
    <w:link w:val="51"/>
    <w:autoRedefine/>
    <w:qFormat/>
    <w:uiPriority w:val="0"/>
    <w:rPr>
      <w:rFonts w:ascii="Arial" w:hAnsi="Arial" w:eastAsia="宋体" w:cs="Times New Roman"/>
      <w:kern w:val="2"/>
      <w:sz w:val="24"/>
      <w:szCs w:val="24"/>
      <w:lang w:val="zh-CN"/>
    </w:rPr>
  </w:style>
  <w:style w:type="character" w:customStyle="1" w:styleId="165">
    <w:name w:val="尾注文本 字符"/>
    <w:basedOn w:val="98"/>
    <w:qFormat/>
    <w:uiPriority w:val="0"/>
    <w:rPr>
      <w:rFonts w:ascii="Times New Roman" w:hAnsi="Times New Roman" w:eastAsia="宋体" w:cs="Times New Roman"/>
      <w:kern w:val="2"/>
      <w:sz w:val="21"/>
      <w:szCs w:val="21"/>
    </w:rPr>
  </w:style>
  <w:style w:type="character" w:customStyle="1" w:styleId="166">
    <w:name w:val="签名 字符"/>
    <w:basedOn w:val="98"/>
    <w:qFormat/>
    <w:uiPriority w:val="0"/>
    <w:rPr>
      <w:rFonts w:ascii="Times New Roman" w:hAnsi="Times New Roman" w:eastAsia="宋体" w:cs="Times New Roman"/>
      <w:kern w:val="2"/>
      <w:sz w:val="21"/>
      <w:szCs w:val="21"/>
    </w:rPr>
  </w:style>
  <w:style w:type="character" w:customStyle="1" w:styleId="167">
    <w:name w:val="副标题 字符"/>
    <w:basedOn w:val="98"/>
    <w:autoRedefine/>
    <w:qFormat/>
    <w:uiPriority w:val="11"/>
    <w:rPr>
      <w:b/>
      <w:bCs/>
      <w:kern w:val="28"/>
      <w:sz w:val="32"/>
      <w:szCs w:val="32"/>
    </w:rPr>
  </w:style>
  <w:style w:type="character" w:customStyle="1" w:styleId="168">
    <w:name w:val="脚注文本 字符"/>
    <w:basedOn w:val="98"/>
    <w:autoRedefine/>
    <w:qFormat/>
    <w:uiPriority w:val="0"/>
    <w:rPr>
      <w:rFonts w:ascii="Times New Roman" w:hAnsi="Times New Roman" w:eastAsia="宋体" w:cs="Times New Roman"/>
      <w:kern w:val="2"/>
      <w:sz w:val="18"/>
      <w:szCs w:val="18"/>
    </w:rPr>
  </w:style>
  <w:style w:type="character" w:customStyle="1" w:styleId="169">
    <w:name w:val="正文文本缩进 3 字符"/>
    <w:basedOn w:val="98"/>
    <w:link w:val="70"/>
    <w:qFormat/>
    <w:uiPriority w:val="0"/>
    <w:rPr>
      <w:rFonts w:ascii="Arial" w:hAnsi="Arial" w:eastAsia="宋体" w:cs="Times New Roman"/>
      <w:kern w:val="2"/>
      <w:sz w:val="16"/>
      <w:szCs w:val="16"/>
      <w:lang w:val="zh-CN"/>
    </w:rPr>
  </w:style>
  <w:style w:type="character" w:customStyle="1" w:styleId="170">
    <w:name w:val="正文文本 2 字符"/>
    <w:basedOn w:val="98"/>
    <w:link w:val="76"/>
    <w:qFormat/>
    <w:uiPriority w:val="0"/>
    <w:rPr>
      <w:rFonts w:ascii="Arial" w:hAnsi="Arial" w:eastAsia="宋体" w:cs="Times New Roman"/>
      <w:kern w:val="2"/>
      <w:sz w:val="24"/>
      <w:szCs w:val="24"/>
      <w:lang w:val="zh-CN"/>
    </w:rPr>
  </w:style>
  <w:style w:type="character" w:customStyle="1" w:styleId="171">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2">
    <w:name w:val="HTML 预设格式 字符"/>
    <w:basedOn w:val="98"/>
    <w:link w:val="80"/>
    <w:autoRedefine/>
    <w:qFormat/>
    <w:uiPriority w:val="0"/>
    <w:rPr>
      <w:rFonts w:ascii="Arial" w:hAnsi="Arial" w:eastAsia="宋体" w:cs="Times New Roman"/>
      <w:sz w:val="19"/>
      <w:szCs w:val="19"/>
      <w:lang w:val="zh-CN"/>
    </w:rPr>
  </w:style>
  <w:style w:type="character" w:customStyle="1" w:styleId="173">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4">
    <w:name w:val="正文文本首行缩进 字符"/>
    <w:basedOn w:val="160"/>
    <w:link w:val="86"/>
    <w:qFormat/>
    <w:uiPriority w:val="0"/>
    <w:rPr>
      <w:rFonts w:ascii="Times New Roman" w:hAnsi="Times New Roman" w:eastAsia="宋体" w:cs="Times New Roman"/>
      <w:kern w:val="2"/>
      <w:sz w:val="24"/>
      <w:szCs w:val="24"/>
    </w:rPr>
  </w:style>
  <w:style w:type="character" w:customStyle="1" w:styleId="175">
    <w:name w:val="正文文本首行缩进 2 字符"/>
    <w:basedOn w:val="161"/>
    <w:link w:val="87"/>
    <w:autoRedefine/>
    <w:qFormat/>
    <w:uiPriority w:val="0"/>
    <w:rPr>
      <w:rFonts w:ascii="Times New Roman" w:hAnsi="Times New Roman" w:eastAsia="宋体" w:cs="Times New Roman"/>
      <w:kern w:val="2"/>
      <w:sz w:val="28"/>
      <w:szCs w:val="24"/>
      <w:lang w:val="zh-CN"/>
    </w:rPr>
  </w:style>
  <w:style w:type="character" w:customStyle="1" w:styleId="176">
    <w:name w:val="宏文本 字符1"/>
    <w:link w:val="2"/>
    <w:qFormat/>
    <w:uiPriority w:val="0"/>
    <w:rPr>
      <w:rFonts w:ascii="Courier New" w:hAnsi="Courier New" w:eastAsia="宋体" w:cs="Times New Roman"/>
      <w:kern w:val="2"/>
      <w:sz w:val="24"/>
      <w:szCs w:val="24"/>
      <w:lang w:bidi="he-IL"/>
    </w:rPr>
  </w:style>
  <w:style w:type="character" w:customStyle="1" w:styleId="177">
    <w:name w:val="标题 1 字符2"/>
    <w:autoRedefine/>
    <w:qFormat/>
    <w:uiPriority w:val="0"/>
    <w:rPr>
      <w:rFonts w:eastAsia="黑体"/>
      <w:b/>
      <w:bCs/>
      <w:color w:val="000000"/>
      <w:kern w:val="44"/>
      <w:sz w:val="30"/>
      <w:szCs w:val="30"/>
    </w:rPr>
  </w:style>
  <w:style w:type="character" w:customStyle="1" w:styleId="178">
    <w:name w:val="标题 2 字符2"/>
    <w:link w:val="4"/>
    <w:qFormat/>
    <w:uiPriority w:val="0"/>
    <w:rPr>
      <w:rFonts w:ascii="Calibri Light" w:hAnsi="Calibri Light" w:eastAsia="宋体" w:cs="Times New Roman"/>
      <w:b/>
      <w:bCs/>
      <w:kern w:val="2"/>
      <w:sz w:val="32"/>
      <w:szCs w:val="32"/>
    </w:rPr>
  </w:style>
  <w:style w:type="character" w:customStyle="1" w:styleId="179">
    <w:name w:val="标题 3 字符2"/>
    <w:link w:val="5"/>
    <w:qFormat/>
    <w:uiPriority w:val="0"/>
    <w:rPr>
      <w:rFonts w:ascii="Arial" w:hAnsi="Arial" w:eastAsia="宋体" w:cs="Times New Roman"/>
      <w:b/>
      <w:bCs/>
      <w:kern w:val="2"/>
      <w:sz w:val="32"/>
      <w:szCs w:val="32"/>
      <w:lang w:val="zh-CN"/>
    </w:rPr>
  </w:style>
  <w:style w:type="character" w:customStyle="1" w:styleId="180">
    <w:name w:val="标题 4 字符2"/>
    <w:link w:val="6"/>
    <w:qFormat/>
    <w:uiPriority w:val="0"/>
    <w:rPr>
      <w:rFonts w:ascii="Arial" w:hAnsi="Arial" w:eastAsia="黑体" w:cs="Times New Roman"/>
      <w:b/>
      <w:bCs/>
      <w:kern w:val="2"/>
      <w:sz w:val="28"/>
      <w:szCs w:val="28"/>
      <w:lang w:val="zh-CN"/>
    </w:rPr>
  </w:style>
  <w:style w:type="character" w:customStyle="1" w:styleId="181">
    <w:name w:val="标题 9 字符1"/>
    <w:link w:val="11"/>
    <w:qFormat/>
    <w:uiPriority w:val="0"/>
    <w:rPr>
      <w:rFonts w:ascii="Arial" w:hAnsi="Arial" w:eastAsia="黑体" w:cs="Times New Roman"/>
      <w:color w:val="000000"/>
      <w:kern w:val="2"/>
      <w:sz w:val="24"/>
      <w:szCs w:val="21"/>
    </w:rPr>
  </w:style>
  <w:style w:type="character" w:customStyle="1" w:styleId="182">
    <w:name w:val="列表 3 字符1"/>
    <w:link w:val="12"/>
    <w:qFormat/>
    <w:uiPriority w:val="0"/>
    <w:rPr>
      <w:rFonts w:ascii="Arial" w:hAnsi="Arial" w:eastAsia="宋体" w:cs="Times New Roman"/>
      <w:kern w:val="2"/>
      <w:sz w:val="24"/>
      <w:szCs w:val="24"/>
      <w:lang w:val="zh-CN"/>
    </w:rPr>
  </w:style>
  <w:style w:type="character" w:customStyle="1" w:styleId="183">
    <w:name w:val="注释标题 字符1"/>
    <w:link w:val="16"/>
    <w:qFormat/>
    <w:uiPriority w:val="0"/>
    <w:rPr>
      <w:rFonts w:ascii="Times New Roman" w:hAnsi="Times New Roman" w:eastAsia="宋体" w:cs="Times New Roman"/>
      <w:kern w:val="2"/>
      <w:sz w:val="21"/>
      <w:lang w:val="zh-CN" w:bidi="he-IL"/>
    </w:rPr>
  </w:style>
  <w:style w:type="character" w:customStyle="1" w:styleId="184">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5">
    <w:name w:val="正文缩进 字符5"/>
    <w:qFormat/>
    <w:uiPriority w:val="0"/>
    <w:rPr>
      <w:rFonts w:ascii="Arial" w:hAnsi="Arial" w:cs="Arial"/>
      <w:spacing w:val="10"/>
      <w:kern w:val="2"/>
      <w:sz w:val="24"/>
    </w:rPr>
  </w:style>
  <w:style w:type="character" w:customStyle="1" w:styleId="186">
    <w:name w:val="题注 字符1"/>
    <w:link w:val="22"/>
    <w:autoRedefine/>
    <w:qFormat/>
    <w:uiPriority w:val="35"/>
    <w:rPr>
      <w:rFonts w:ascii="Arial" w:hAnsi="Arial" w:eastAsia="黑体" w:cs="Times New Roman"/>
      <w:kern w:val="2"/>
      <w:lang w:val="zh-CN"/>
    </w:rPr>
  </w:style>
  <w:style w:type="character" w:customStyle="1" w:styleId="187">
    <w:name w:val="批注文字 字符3"/>
    <w:autoRedefine/>
    <w:qFormat/>
    <w:locked/>
    <w:uiPriority w:val="0"/>
    <w:rPr>
      <w:rFonts w:ascii="Times New Roman" w:hAnsi="Times New Roman" w:eastAsia="宋体"/>
      <w:sz w:val="24"/>
    </w:rPr>
  </w:style>
  <w:style w:type="character" w:customStyle="1" w:styleId="188">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9">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0">
    <w:name w:val="纯文本 字符2"/>
    <w:autoRedefine/>
    <w:qFormat/>
    <w:uiPriority w:val="0"/>
    <w:rPr>
      <w:rFonts w:ascii="宋体" w:hAnsi="Courier New" w:cs="Courier New"/>
      <w:kern w:val="2"/>
      <w:sz w:val="21"/>
      <w:szCs w:val="21"/>
    </w:rPr>
  </w:style>
  <w:style w:type="character" w:customStyle="1" w:styleId="191">
    <w:name w:val="日期 字符1"/>
    <w:link w:val="50"/>
    <w:qFormat/>
    <w:locked/>
    <w:uiPriority w:val="0"/>
    <w:rPr>
      <w:rFonts w:ascii="Times New Roman" w:hAnsi="Times New Roman" w:eastAsia="宋体" w:cs="Times New Roman"/>
      <w:sz w:val="24"/>
    </w:rPr>
  </w:style>
  <w:style w:type="character" w:customStyle="1" w:styleId="192">
    <w:name w:val="尾注文本 字符1"/>
    <w:link w:val="52"/>
    <w:autoRedefine/>
    <w:qFormat/>
    <w:uiPriority w:val="0"/>
    <w:rPr>
      <w:rFonts w:ascii="Times New Roman" w:hAnsi="Times New Roman" w:eastAsia="宋体" w:cs="Times New Roman"/>
      <w:kern w:val="2"/>
      <w:sz w:val="24"/>
      <w:lang w:val="zh-CN"/>
    </w:rPr>
  </w:style>
  <w:style w:type="character" w:customStyle="1" w:styleId="193">
    <w:name w:val="页脚 字符1"/>
    <w:qFormat/>
    <w:locked/>
    <w:uiPriority w:val="99"/>
    <w:rPr>
      <w:sz w:val="18"/>
    </w:rPr>
  </w:style>
  <w:style w:type="character" w:customStyle="1" w:styleId="194">
    <w:name w:val="签名 字符1"/>
    <w:link w:val="58"/>
    <w:qFormat/>
    <w:uiPriority w:val="0"/>
    <w:rPr>
      <w:rFonts w:ascii="Times New Roman" w:hAnsi="Times New Roman" w:eastAsia="宋体" w:cs="Times New Roman"/>
      <w:kern w:val="2"/>
      <w:sz w:val="21"/>
      <w:lang w:val="zh-CN" w:bidi="he-IL"/>
    </w:rPr>
  </w:style>
  <w:style w:type="character" w:customStyle="1" w:styleId="195">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6">
    <w:name w:val="脚注文本 字符1"/>
    <w:link w:val="67"/>
    <w:qFormat/>
    <w:uiPriority w:val="0"/>
    <w:rPr>
      <w:rFonts w:ascii="Times New Roman" w:hAnsi="Times New Roman" w:eastAsia="仿宋_GB2312" w:cs="Times New Roman"/>
      <w:kern w:val="2"/>
      <w:sz w:val="18"/>
      <w:lang w:val="zh-CN"/>
    </w:rPr>
  </w:style>
  <w:style w:type="character" w:customStyle="1" w:styleId="197">
    <w:name w:val="TOC 2 字符"/>
    <w:link w:val="74"/>
    <w:autoRedefine/>
    <w:qFormat/>
    <w:uiPriority w:val="39"/>
    <w:rPr>
      <w:rFonts w:ascii="Arial" w:hAnsi="Arial" w:eastAsia="宋体" w:cs="Times New Roman"/>
      <w:smallCaps/>
      <w:kern w:val="2"/>
      <w:lang w:val="zh-CN"/>
    </w:rPr>
  </w:style>
  <w:style w:type="character" w:customStyle="1" w:styleId="198">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9">
    <w:name w:val="普通(网站) 字符1"/>
    <w:link w:val="81"/>
    <w:autoRedefine/>
    <w:qFormat/>
    <w:locked/>
    <w:uiPriority w:val="0"/>
    <w:rPr>
      <w:rFonts w:ascii="宋体" w:hAnsi="宋体" w:eastAsia="宋体" w:cs="Times New Roman"/>
      <w:sz w:val="24"/>
    </w:rPr>
  </w:style>
  <w:style w:type="character" w:customStyle="1" w:styleId="200">
    <w:name w:val="列表 3 Char"/>
    <w:autoRedefine/>
    <w:qFormat/>
    <w:uiPriority w:val="0"/>
    <w:rPr>
      <w:rFonts w:ascii="Arial" w:hAnsi="Arial"/>
      <w:sz w:val="21"/>
      <w:szCs w:val="20"/>
    </w:rPr>
  </w:style>
  <w:style w:type="character" w:customStyle="1" w:styleId="201">
    <w:name w:val="Char Char16"/>
    <w:qFormat/>
    <w:uiPriority w:val="0"/>
    <w:rPr>
      <w:rFonts w:eastAsia="宋体"/>
      <w:kern w:val="2"/>
      <w:sz w:val="27"/>
      <w:lang w:val="en-US" w:eastAsia="zh-CN" w:bidi="ar-SA"/>
    </w:rPr>
  </w:style>
  <w:style w:type="character" w:customStyle="1" w:styleId="202">
    <w:name w:val="h Char3"/>
    <w:qFormat/>
    <w:uiPriority w:val="0"/>
    <w:rPr>
      <w:rFonts w:eastAsia="宋体"/>
      <w:sz w:val="18"/>
      <w:lang w:val="en-US" w:eastAsia="zh-CN" w:bidi="ar-SA"/>
    </w:rPr>
  </w:style>
  <w:style w:type="character" w:customStyle="1" w:styleId="203">
    <w:name w:val="Char Char19"/>
    <w:autoRedefine/>
    <w:semiHidden/>
    <w:qFormat/>
    <w:uiPriority w:val="0"/>
    <w:rPr>
      <w:rFonts w:eastAsia="宋体"/>
      <w:kern w:val="2"/>
      <w:sz w:val="27"/>
      <w:lang w:val="en-US" w:eastAsia="zh-CN" w:bidi="ar-SA"/>
    </w:rPr>
  </w:style>
  <w:style w:type="character" w:customStyle="1" w:styleId="204">
    <w:name w:val="Hyperlink2"/>
    <w:autoRedefine/>
    <w:qFormat/>
    <w:uiPriority w:val="0"/>
    <w:rPr>
      <w:color w:val="0000FF"/>
      <w:u w:val="single"/>
    </w:rPr>
  </w:style>
  <w:style w:type="character" w:customStyle="1" w:styleId="205">
    <w:name w:val="Char6 Char"/>
    <w:semiHidden/>
    <w:qFormat/>
    <w:uiPriority w:val="0"/>
    <w:rPr>
      <w:rFonts w:eastAsia="宋体"/>
      <w:kern w:val="2"/>
      <w:sz w:val="18"/>
      <w:lang w:val="en-US" w:eastAsia="zh-CN" w:bidi="ar-SA"/>
    </w:rPr>
  </w:style>
  <w:style w:type="character" w:customStyle="1" w:styleId="206">
    <w:name w:val="yangshi-h41"/>
    <w:qFormat/>
    <w:uiPriority w:val="0"/>
    <w:rPr>
      <w:rFonts w:ascii="黑体" w:eastAsia="黑体"/>
      <w:b/>
      <w:bCs/>
      <w:color w:val="000000"/>
      <w:sz w:val="24"/>
      <w:szCs w:val="24"/>
    </w:rPr>
  </w:style>
  <w:style w:type="character" w:customStyle="1" w:styleId="207">
    <w:name w:val="Char Char23"/>
    <w:qFormat/>
    <w:uiPriority w:val="0"/>
    <w:rPr>
      <w:rFonts w:ascii="Arial" w:hAnsi="Arial" w:eastAsia="黑体"/>
      <w:sz w:val="24"/>
      <w:lang w:val="en-US" w:eastAsia="zh-CN" w:bidi="ar-SA"/>
    </w:rPr>
  </w:style>
  <w:style w:type="character" w:customStyle="1" w:styleId="208">
    <w:name w:val="+正文 Char2"/>
    <w:qFormat/>
    <w:uiPriority w:val="0"/>
    <w:rPr>
      <w:rFonts w:eastAsia="宋体"/>
      <w:kern w:val="2"/>
      <w:sz w:val="24"/>
      <w:szCs w:val="28"/>
      <w:lang w:val="en-US" w:eastAsia="zh-CN" w:bidi="ar-SA"/>
    </w:rPr>
  </w:style>
  <w:style w:type="character" w:customStyle="1" w:styleId="209">
    <w:name w:val="样式2 Char Char Char"/>
    <w:qFormat/>
    <w:uiPriority w:val="0"/>
    <w:rPr>
      <w:rFonts w:eastAsia="宋体"/>
      <w:sz w:val="24"/>
      <w:szCs w:val="24"/>
      <w:lang w:val="en-US" w:eastAsia="zh-CN"/>
    </w:rPr>
  </w:style>
  <w:style w:type="character" w:customStyle="1" w:styleId="210">
    <w:name w:val="fieldcontents1"/>
    <w:qFormat/>
    <w:uiPriority w:val="0"/>
    <w:rPr>
      <w:rFonts w:hint="default" w:ascii="Verdana" w:hAnsi="Verdana"/>
      <w:color w:val="000000"/>
      <w:sz w:val="24"/>
      <w:szCs w:val="24"/>
    </w:rPr>
  </w:style>
  <w:style w:type="character" w:customStyle="1" w:styleId="211">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2">
    <w:name w:val="articlecontent"/>
    <w:qFormat/>
    <w:uiPriority w:val="0"/>
  </w:style>
  <w:style w:type="character" w:customStyle="1" w:styleId="213">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4">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5">
    <w:name w:val="bigsize1"/>
    <w:qFormat/>
    <w:uiPriority w:val="0"/>
    <w:rPr>
      <w:sz w:val="23"/>
      <w:szCs w:val="23"/>
    </w:rPr>
  </w:style>
  <w:style w:type="character" w:customStyle="1" w:styleId="216">
    <w:name w:val="样式3 Char Char Char Char Char Char Char"/>
    <w:autoRedefine/>
    <w:qFormat/>
    <w:uiPriority w:val="0"/>
    <w:rPr>
      <w:rFonts w:eastAsia="宋体"/>
      <w:sz w:val="24"/>
      <w:szCs w:val="24"/>
      <w:lang w:val="en-US" w:eastAsia="zh-CN" w:bidi="ar-SA"/>
    </w:rPr>
  </w:style>
  <w:style w:type="character" w:customStyle="1" w:styleId="217">
    <w:name w:val="Char Char20"/>
    <w:autoRedefine/>
    <w:qFormat/>
    <w:uiPriority w:val="0"/>
    <w:rPr>
      <w:rFonts w:eastAsia="宋体"/>
      <w:kern w:val="2"/>
      <w:sz w:val="18"/>
      <w:szCs w:val="18"/>
      <w:lang w:val="en-US" w:eastAsia="zh-CN" w:bidi="ar-SA"/>
    </w:rPr>
  </w:style>
  <w:style w:type="character" w:customStyle="1" w:styleId="218">
    <w:name w:val="上标"/>
    <w:qFormat/>
    <w:uiPriority w:val="0"/>
    <w:rPr>
      <w:vertAlign w:val="superscript"/>
      <w:lang w:eastAsia="zh-CN"/>
    </w:rPr>
  </w:style>
  <w:style w:type="character" w:customStyle="1" w:styleId="219">
    <w:name w:val="title-text"/>
    <w:autoRedefine/>
    <w:qFormat/>
    <w:uiPriority w:val="0"/>
  </w:style>
  <w:style w:type="character" w:customStyle="1" w:styleId="220">
    <w:name w:val="Char Char Char Char3"/>
    <w:qFormat/>
    <w:uiPriority w:val="0"/>
    <w:rPr>
      <w:rFonts w:eastAsia="宋体"/>
      <w:kern w:val="2"/>
      <w:sz w:val="18"/>
      <w:szCs w:val="18"/>
      <w:lang w:val="en-US" w:eastAsia="zh-CN" w:bidi="ar-SA"/>
    </w:rPr>
  </w:style>
  <w:style w:type="character" w:customStyle="1" w:styleId="221">
    <w:name w:val="批注框文本 Char1"/>
    <w:autoRedefine/>
    <w:semiHidden/>
    <w:qFormat/>
    <w:uiPriority w:val="0"/>
    <w:rPr>
      <w:kern w:val="2"/>
      <w:sz w:val="18"/>
      <w:szCs w:val="18"/>
    </w:rPr>
  </w:style>
  <w:style w:type="character" w:customStyle="1" w:styleId="222">
    <w:name w:val="表格下方正文 Char1"/>
    <w:qFormat/>
    <w:uiPriority w:val="0"/>
    <w:rPr>
      <w:rFonts w:eastAsia="宋体"/>
      <w:snapToGrid/>
      <w:sz w:val="24"/>
      <w:szCs w:val="24"/>
      <w:lang w:val="en-US" w:eastAsia="zh-CN" w:bidi="ar-SA"/>
    </w:rPr>
  </w:style>
  <w:style w:type="character" w:customStyle="1" w:styleId="223">
    <w:name w:val="标题1.1.1.1.1.1 Char Char1"/>
    <w:qFormat/>
    <w:uiPriority w:val="0"/>
    <w:rPr>
      <w:rFonts w:ascii="Arial" w:hAnsi="Arial" w:eastAsia="黑体"/>
      <w:b/>
      <w:sz w:val="24"/>
      <w:lang w:val="en-US" w:eastAsia="zh-CN" w:bidi="ar-SA"/>
    </w:rPr>
  </w:style>
  <w:style w:type="character" w:customStyle="1" w:styleId="224">
    <w:name w:val="abstract_page_text1"/>
    <w:autoRedefine/>
    <w:qFormat/>
    <w:uiPriority w:val="0"/>
    <w:rPr>
      <w:rFonts w:hint="default" w:ascii="Arial" w:hAnsi="Arial"/>
      <w:color w:val="000000"/>
      <w:sz w:val="16"/>
    </w:rPr>
  </w:style>
  <w:style w:type="character" w:customStyle="1" w:styleId="225">
    <w:name w:val="标题 5 Char1"/>
    <w:autoRedefine/>
    <w:semiHidden/>
    <w:qFormat/>
    <w:uiPriority w:val="0"/>
    <w:rPr>
      <w:rFonts w:eastAsia="宋体"/>
      <w:b/>
      <w:bCs/>
      <w:kern w:val="2"/>
      <w:sz w:val="28"/>
      <w:szCs w:val="28"/>
    </w:rPr>
  </w:style>
  <w:style w:type="character" w:customStyle="1" w:styleId="226">
    <w:name w:val="正文文本缩进 2 Char2"/>
    <w:semiHidden/>
    <w:qFormat/>
    <w:uiPriority w:val="0"/>
  </w:style>
  <w:style w:type="character" w:customStyle="1" w:styleId="227">
    <w:name w:val="正文文本 Char1"/>
    <w:autoRedefine/>
    <w:qFormat/>
    <w:uiPriority w:val="0"/>
    <w:rPr>
      <w:rFonts w:eastAsia="宋体"/>
      <w:sz w:val="21"/>
      <w:lang w:val="en-US" w:eastAsia="zh-CN"/>
    </w:rPr>
  </w:style>
  <w:style w:type="character" w:customStyle="1" w:styleId="228">
    <w:name w:val="Char Char33"/>
    <w:autoRedefine/>
    <w:qFormat/>
    <w:uiPriority w:val="0"/>
    <w:rPr>
      <w:rFonts w:eastAsia="宋体"/>
      <w:kern w:val="2"/>
      <w:sz w:val="16"/>
      <w:szCs w:val="16"/>
      <w:lang w:val="en-US" w:eastAsia="zh-CN" w:bidi="ar-SA"/>
    </w:rPr>
  </w:style>
  <w:style w:type="character" w:customStyle="1" w:styleId="229">
    <w:name w:val="ll"/>
    <w:autoRedefine/>
    <w:qFormat/>
    <w:uiPriority w:val="0"/>
  </w:style>
  <w:style w:type="character" w:customStyle="1" w:styleId="230">
    <w:name w:val="lm1"/>
    <w:qFormat/>
    <w:uiPriority w:val="0"/>
    <w:rPr>
      <w:sz w:val="18"/>
      <w:szCs w:val="18"/>
    </w:rPr>
  </w:style>
  <w:style w:type="character" w:customStyle="1" w:styleId="231">
    <w:name w:val="正文文本 字符1"/>
    <w:qFormat/>
    <w:uiPriority w:val="0"/>
    <w:rPr>
      <w:rFonts w:ascii="Times New Roman" w:hAnsi="Times New Roman" w:eastAsia="宋体"/>
      <w:sz w:val="24"/>
    </w:rPr>
  </w:style>
  <w:style w:type="character" w:customStyle="1" w:styleId="232">
    <w:name w:val="正文首行缩进 2 字符"/>
    <w:qFormat/>
    <w:uiPriority w:val="0"/>
    <w:rPr>
      <w:rFonts w:ascii="Arial" w:hAnsi="Arial" w:eastAsia="宋体"/>
      <w:kern w:val="2"/>
      <w:sz w:val="24"/>
      <w:szCs w:val="24"/>
      <w:lang w:val="en-US" w:eastAsia="zh-CN" w:bidi="ar-SA"/>
    </w:rPr>
  </w:style>
  <w:style w:type="character" w:customStyle="1" w:styleId="233">
    <w:name w:val="表格 Char"/>
    <w:link w:val="133"/>
    <w:qFormat/>
    <w:locked/>
    <w:uiPriority w:val="0"/>
    <w:rPr>
      <w:rFonts w:ascii="Times New Roman" w:hAnsi="Times New Roman" w:eastAsia="宋体" w:cs="Times New Roman"/>
      <w:kern w:val="2"/>
      <w:sz w:val="21"/>
    </w:rPr>
  </w:style>
  <w:style w:type="character" w:customStyle="1" w:styleId="234">
    <w:name w:val="引用 字符"/>
    <w:qFormat/>
    <w:uiPriority w:val="29"/>
    <w:rPr>
      <w:rFonts w:ascii="Arial" w:hAnsi="Arial"/>
      <w:i/>
      <w:iCs/>
      <w:color w:val="404040"/>
      <w:kern w:val="2"/>
      <w:sz w:val="24"/>
      <w:szCs w:val="24"/>
    </w:rPr>
  </w:style>
  <w:style w:type="character" w:customStyle="1" w:styleId="235">
    <w:name w:val="批注文字 字符1"/>
    <w:qFormat/>
    <w:uiPriority w:val="0"/>
    <w:rPr>
      <w:rFonts w:ascii="Times New Roman" w:hAnsi="Times New Roman" w:eastAsia="宋体"/>
      <w:sz w:val="24"/>
    </w:rPr>
  </w:style>
  <w:style w:type="character" w:customStyle="1" w:styleId="236">
    <w:name w:val="H1 Char Char"/>
    <w:qFormat/>
    <w:uiPriority w:val="0"/>
    <w:rPr>
      <w:b/>
      <w:bCs/>
      <w:kern w:val="44"/>
      <w:sz w:val="44"/>
      <w:szCs w:val="44"/>
    </w:rPr>
  </w:style>
  <w:style w:type="character" w:customStyle="1" w:styleId="237">
    <w:name w:val="明显引用 字符"/>
    <w:autoRedefine/>
    <w:qFormat/>
    <w:uiPriority w:val="30"/>
    <w:rPr>
      <w:rFonts w:ascii="Arial" w:hAnsi="Arial"/>
      <w:i/>
      <w:iCs/>
      <w:color w:val="5B9BD5"/>
      <w:kern w:val="2"/>
      <w:sz w:val="24"/>
      <w:szCs w:val="24"/>
    </w:rPr>
  </w:style>
  <w:style w:type="character" w:customStyle="1" w:styleId="238">
    <w:name w:val="表格正文 Char2"/>
    <w:autoRedefine/>
    <w:qFormat/>
    <w:uiPriority w:val="0"/>
    <w:rPr>
      <w:rFonts w:eastAsia="宋体"/>
      <w:kern w:val="2"/>
      <w:sz w:val="21"/>
      <w:szCs w:val="21"/>
      <w:lang w:val="en-US" w:eastAsia="zh-CN" w:bidi="ar-SA"/>
    </w:rPr>
  </w:style>
  <w:style w:type="character" w:customStyle="1" w:styleId="239">
    <w:name w:val="宏文本 Char"/>
    <w:qFormat/>
    <w:uiPriority w:val="0"/>
    <w:rPr>
      <w:rFonts w:ascii="Courier New" w:hAnsi="Courier New" w:cs="Courier New"/>
      <w:kern w:val="2"/>
      <w:sz w:val="24"/>
      <w:szCs w:val="24"/>
    </w:rPr>
  </w:style>
  <w:style w:type="character" w:customStyle="1" w:styleId="240">
    <w:name w:val="注释标题 Char"/>
    <w:autoRedefine/>
    <w:qFormat/>
    <w:uiPriority w:val="0"/>
    <w:rPr>
      <w:kern w:val="2"/>
      <w:sz w:val="21"/>
      <w:szCs w:val="24"/>
    </w:rPr>
  </w:style>
  <w:style w:type="character" w:customStyle="1" w:styleId="241">
    <w:name w:val="电子邮件签名 Char"/>
    <w:qFormat/>
    <w:uiPriority w:val="0"/>
    <w:rPr>
      <w:kern w:val="2"/>
      <w:sz w:val="21"/>
      <w:szCs w:val="24"/>
    </w:rPr>
  </w:style>
  <w:style w:type="character" w:customStyle="1" w:styleId="242">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3">
    <w:name w:val="正文文本 3 Char1"/>
    <w:semiHidden/>
    <w:qFormat/>
    <w:uiPriority w:val="0"/>
    <w:rPr>
      <w:kern w:val="2"/>
      <w:sz w:val="16"/>
      <w:szCs w:val="16"/>
    </w:rPr>
  </w:style>
  <w:style w:type="character" w:customStyle="1" w:styleId="244">
    <w:name w:val="结束语 Char"/>
    <w:autoRedefine/>
    <w:qFormat/>
    <w:uiPriority w:val="0"/>
    <w:rPr>
      <w:kern w:val="2"/>
      <w:sz w:val="21"/>
      <w:szCs w:val="24"/>
    </w:rPr>
  </w:style>
  <w:style w:type="character" w:customStyle="1" w:styleId="245">
    <w:name w:val="hei1"/>
    <w:autoRedefine/>
    <w:qFormat/>
    <w:uiPriority w:val="0"/>
    <w:rPr>
      <w:color w:val="000000"/>
      <w:sz w:val="18"/>
      <w:szCs w:val="18"/>
      <w:u w:val="none"/>
    </w:rPr>
  </w:style>
  <w:style w:type="character" w:customStyle="1" w:styleId="246">
    <w:name w:val="9p1"/>
    <w:qFormat/>
    <w:uiPriority w:val="0"/>
    <w:rPr>
      <w:sz w:val="18"/>
      <w:szCs w:val="18"/>
    </w:rPr>
  </w:style>
  <w:style w:type="character" w:customStyle="1" w:styleId="247">
    <w:name w:val="HTML 地址 Char"/>
    <w:autoRedefine/>
    <w:qFormat/>
    <w:uiPriority w:val="0"/>
    <w:rPr>
      <w:i/>
      <w:iCs/>
      <w:kern w:val="2"/>
      <w:sz w:val="21"/>
      <w:szCs w:val="24"/>
    </w:rPr>
  </w:style>
  <w:style w:type="character" w:customStyle="1" w:styleId="248">
    <w:name w:val="脚注文本 Char1"/>
    <w:semiHidden/>
    <w:qFormat/>
    <w:uiPriority w:val="0"/>
    <w:rPr>
      <w:kern w:val="2"/>
      <w:sz w:val="18"/>
      <w:szCs w:val="18"/>
    </w:rPr>
  </w:style>
  <w:style w:type="character" w:customStyle="1" w:styleId="249">
    <w:name w:val="正文001 Char1"/>
    <w:qFormat/>
    <w:uiPriority w:val="0"/>
    <w:rPr>
      <w:rFonts w:eastAsia="宋体"/>
      <w:kern w:val="2"/>
      <w:sz w:val="24"/>
      <w:lang w:val="en-US" w:eastAsia="zh-CN" w:bidi="ar-SA"/>
    </w:rPr>
  </w:style>
  <w:style w:type="character" w:customStyle="1" w:styleId="250">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1">
    <w:name w:val="newsbody1"/>
    <w:autoRedefine/>
    <w:qFormat/>
    <w:uiPriority w:val="0"/>
    <w:rPr>
      <w:color w:val="363636"/>
      <w:sz w:val="21"/>
      <w:szCs w:val="21"/>
    </w:rPr>
  </w:style>
  <w:style w:type="character" w:customStyle="1" w:styleId="252">
    <w:name w:val="font2"/>
    <w:autoRedefine/>
    <w:qFormat/>
    <w:uiPriority w:val="0"/>
    <w:rPr>
      <w:sz w:val="21"/>
      <w:szCs w:val="21"/>
    </w:rPr>
  </w:style>
  <w:style w:type="character" w:customStyle="1" w:styleId="253">
    <w:name w:val="签名 Char"/>
    <w:qFormat/>
    <w:uiPriority w:val="0"/>
    <w:rPr>
      <w:kern w:val="2"/>
      <w:sz w:val="21"/>
      <w:szCs w:val="24"/>
    </w:rPr>
  </w:style>
  <w:style w:type="character" w:customStyle="1" w:styleId="254">
    <w:name w:val="z101"/>
    <w:autoRedefine/>
    <w:qFormat/>
    <w:uiPriority w:val="0"/>
    <w:rPr>
      <w:sz w:val="21"/>
      <w:szCs w:val="21"/>
    </w:rPr>
  </w:style>
  <w:style w:type="character" w:customStyle="1" w:styleId="255">
    <w:name w:val="style71"/>
    <w:autoRedefine/>
    <w:qFormat/>
    <w:uiPriority w:val="0"/>
    <w:rPr>
      <w:color w:val="666666"/>
    </w:rPr>
  </w:style>
  <w:style w:type="character" w:customStyle="1" w:styleId="256">
    <w:name w:val="(a正文 Char Char"/>
    <w:qFormat/>
    <w:uiPriority w:val="0"/>
    <w:rPr>
      <w:rFonts w:eastAsia="仿宋_GB2312"/>
      <w:color w:val="000000"/>
      <w:kern w:val="2"/>
      <w:sz w:val="24"/>
      <w:lang w:val="en-US" w:eastAsia="zh-CN" w:bidi="ar-SA"/>
    </w:rPr>
  </w:style>
  <w:style w:type="character" w:customStyle="1" w:styleId="257">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8">
    <w:name w:val="样式 仿宋_GB2312 (符号) 宋体 四号"/>
    <w:autoRedefine/>
    <w:qFormat/>
    <w:uiPriority w:val="0"/>
    <w:rPr>
      <w:rFonts w:ascii="仿宋_GB2312" w:hAnsi="仿宋_GB2312" w:eastAsia="仿宋_GB2312"/>
      <w:sz w:val="24"/>
    </w:rPr>
  </w:style>
  <w:style w:type="character" w:customStyle="1" w:styleId="259">
    <w:name w:val="普通文字2 Char"/>
    <w:autoRedefine/>
    <w:qFormat/>
    <w:uiPriority w:val="0"/>
    <w:rPr>
      <w:rFonts w:ascii="宋体" w:hAnsi="Courier New" w:eastAsia="宋体"/>
      <w:kern w:val="2"/>
      <w:sz w:val="21"/>
      <w:lang w:val="en-US" w:eastAsia="zh-CN" w:bidi="ar-SA"/>
    </w:rPr>
  </w:style>
  <w:style w:type="character" w:customStyle="1" w:styleId="260">
    <w:name w:val="信息标题 Char"/>
    <w:qFormat/>
    <w:uiPriority w:val="0"/>
    <w:rPr>
      <w:rFonts w:ascii="Calibri Light" w:hAnsi="Calibri Light" w:eastAsia="宋体" w:cs="Times New Roman"/>
      <w:kern w:val="2"/>
      <w:sz w:val="24"/>
      <w:szCs w:val="24"/>
      <w:shd w:val="pct20" w:color="auto" w:fill="auto"/>
    </w:rPr>
  </w:style>
  <w:style w:type="character" w:customStyle="1" w:styleId="261">
    <w:name w:val="图表名 Char Char"/>
    <w:qFormat/>
    <w:uiPriority w:val="0"/>
    <w:rPr>
      <w:rFonts w:eastAsia="黑体"/>
      <w:b/>
      <w:kern w:val="2"/>
      <w:sz w:val="21"/>
      <w:lang w:val="en-US" w:eastAsia="zh-CN" w:bidi="ar-SA"/>
    </w:rPr>
  </w:style>
  <w:style w:type="character" w:customStyle="1" w:styleId="262">
    <w:name w:val="样式 标题 1 + (中文) 黑体 Char Char"/>
    <w:qFormat/>
    <w:uiPriority w:val="0"/>
    <w:rPr>
      <w:rFonts w:eastAsia="黑体"/>
      <w:b/>
      <w:bCs/>
      <w:kern w:val="44"/>
      <w:sz w:val="36"/>
      <w:szCs w:val="44"/>
      <w:lang w:val="en-US" w:eastAsia="zh-CN" w:bidi="ar-SA"/>
    </w:rPr>
  </w:style>
  <w:style w:type="character" w:customStyle="1" w:styleId="263">
    <w:name w:val="标题4 Char"/>
    <w:autoRedefine/>
    <w:qFormat/>
    <w:locked/>
    <w:uiPriority w:val="0"/>
    <w:rPr>
      <w:rFonts w:ascii="Arial" w:hAnsi="Arial"/>
      <w:kern w:val="2"/>
      <w:sz w:val="21"/>
    </w:rPr>
  </w:style>
  <w:style w:type="character" w:customStyle="1" w:styleId="264">
    <w:name w:val="hangju"/>
    <w:qFormat/>
    <w:uiPriority w:val="0"/>
  </w:style>
  <w:style w:type="character" w:customStyle="1" w:styleId="265">
    <w:name w:val="txt1"/>
    <w:qFormat/>
    <w:uiPriority w:val="0"/>
    <w:rPr>
      <w:rFonts w:hint="default" w:ascii="ˎ̥" w:hAnsi="ˎ̥" w:eastAsia="仿宋_GB2312"/>
      <w:bCs/>
      <w:color w:val="2255BB"/>
      <w:kern w:val="2"/>
      <w:sz w:val="24"/>
      <w:szCs w:val="24"/>
      <w:lang w:val="en-US" w:eastAsia="zh-CN" w:bidi="ar-SA"/>
    </w:rPr>
  </w:style>
  <w:style w:type="character" w:customStyle="1" w:styleId="266">
    <w:name w:val="正文01 Char"/>
    <w:qFormat/>
    <w:uiPriority w:val="0"/>
    <w:rPr>
      <w:kern w:val="2"/>
      <w:sz w:val="24"/>
      <w:szCs w:val="24"/>
    </w:rPr>
  </w:style>
  <w:style w:type="character" w:customStyle="1" w:styleId="267">
    <w:name w:val="样式 正文文本正文文字 + (中文) 黑体 加粗 Char Char"/>
    <w:qFormat/>
    <w:uiPriority w:val="0"/>
    <w:rPr>
      <w:rFonts w:eastAsia="黑体"/>
      <w:b/>
      <w:bCs/>
      <w:kern w:val="2"/>
      <w:sz w:val="21"/>
      <w:szCs w:val="24"/>
      <w:lang w:val="en-US" w:eastAsia="zh-CN" w:bidi="ar-SA"/>
    </w:rPr>
  </w:style>
  <w:style w:type="character" w:customStyle="1" w:styleId="268">
    <w:name w:val="表格正文 Char"/>
    <w:link w:val="269"/>
    <w:qFormat/>
    <w:uiPriority w:val="0"/>
    <w:rPr>
      <w:kern w:val="2"/>
      <w:sz w:val="21"/>
      <w:szCs w:val="24"/>
    </w:rPr>
  </w:style>
  <w:style w:type="paragraph" w:customStyle="1" w:styleId="269">
    <w:name w:val="表格正文"/>
    <w:basedOn w:val="1"/>
    <w:link w:val="268"/>
    <w:qFormat/>
    <w:uiPriority w:val="0"/>
    <w:pPr>
      <w:spacing w:line="360" w:lineRule="exact"/>
      <w:jc w:val="center"/>
    </w:pPr>
    <w:rPr>
      <w:rFonts w:asciiTheme="minorHAnsi" w:hAnsiTheme="minorHAnsi" w:eastAsiaTheme="minorEastAsia" w:cstheme="minorBidi"/>
      <w:szCs w:val="24"/>
    </w:rPr>
  </w:style>
  <w:style w:type="character" w:customStyle="1" w:styleId="270">
    <w:name w:val="xl26 Char"/>
    <w:link w:val="140"/>
    <w:qFormat/>
    <w:uiPriority w:val="0"/>
    <w:rPr>
      <w:rFonts w:ascii="宋体" w:hAnsi="宋体" w:eastAsia="宋体" w:cs="Times New Roman"/>
      <w:sz w:val="21"/>
      <w:szCs w:val="21"/>
    </w:rPr>
  </w:style>
  <w:style w:type="character" w:customStyle="1" w:styleId="271">
    <w:name w:val="title31"/>
    <w:autoRedefine/>
    <w:qFormat/>
    <w:uiPriority w:val="0"/>
    <w:rPr>
      <w:rFonts w:hint="eastAsia" w:ascii="宋体" w:hAnsi="宋体" w:eastAsia="宋体"/>
      <w:color w:val="000000"/>
      <w:sz w:val="23"/>
      <w:szCs w:val="23"/>
    </w:rPr>
  </w:style>
  <w:style w:type="character" w:customStyle="1" w:styleId="272">
    <w:name w:val="表 Char"/>
    <w:link w:val="273"/>
    <w:qFormat/>
    <w:uiPriority w:val="0"/>
    <w:rPr>
      <w:rFonts w:ascii="Arial" w:hAnsi="Arial"/>
      <w:spacing w:val="2"/>
      <w:kern w:val="2"/>
      <w:sz w:val="24"/>
      <w:lang w:val="zh-CN"/>
    </w:rPr>
  </w:style>
  <w:style w:type="paragraph" w:customStyle="1" w:styleId="273">
    <w:name w:val="表"/>
    <w:basedOn w:val="1"/>
    <w:link w:val="272"/>
    <w:qFormat/>
    <w:uiPriority w:val="0"/>
    <w:pPr>
      <w:snapToGrid w:val="0"/>
      <w:jc w:val="center"/>
    </w:pPr>
    <w:rPr>
      <w:rFonts w:ascii="Arial" w:hAnsi="Arial" w:eastAsiaTheme="minorEastAsia" w:cstheme="minorBidi"/>
      <w:spacing w:val="2"/>
      <w:sz w:val="24"/>
      <w:szCs w:val="20"/>
      <w:lang w:val="zh-CN"/>
    </w:rPr>
  </w:style>
  <w:style w:type="character" w:customStyle="1" w:styleId="274">
    <w:name w:val="普通文字21 Char"/>
    <w:autoRedefine/>
    <w:qFormat/>
    <w:uiPriority w:val="0"/>
    <w:rPr>
      <w:rFonts w:ascii="宋体" w:hAnsi="Courier New" w:eastAsia="宋体"/>
      <w:kern w:val="2"/>
      <w:sz w:val="21"/>
      <w:lang w:val="en-US" w:eastAsia="zh-CN" w:bidi="ar-SA"/>
    </w:rPr>
  </w:style>
  <w:style w:type="character" w:customStyle="1" w:styleId="275">
    <w:name w:val="居中正文 Char"/>
    <w:link w:val="276"/>
    <w:qFormat/>
    <w:uiPriority w:val="0"/>
    <w:rPr>
      <w:rFonts w:ascii="宋体" w:hAnsi="Arial"/>
      <w:kern w:val="28"/>
      <w:sz w:val="24"/>
      <w:lang w:val="zh-CN"/>
    </w:rPr>
  </w:style>
  <w:style w:type="paragraph" w:customStyle="1" w:styleId="276">
    <w:name w:val="居中正文"/>
    <w:basedOn w:val="86"/>
    <w:link w:val="275"/>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7">
    <w:name w:val="my Char"/>
    <w:link w:val="278"/>
    <w:qFormat/>
    <w:uiPriority w:val="0"/>
    <w:rPr>
      <w:sz w:val="24"/>
      <w:szCs w:val="24"/>
    </w:rPr>
  </w:style>
  <w:style w:type="paragraph" w:customStyle="1" w:styleId="278">
    <w:name w:val="my"/>
    <w:link w:val="277"/>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9">
    <w:name w:val="正文001 Char"/>
    <w:link w:val="280"/>
    <w:qFormat/>
    <w:uiPriority w:val="0"/>
    <w:rPr>
      <w:kern w:val="2"/>
      <w:sz w:val="24"/>
    </w:rPr>
  </w:style>
  <w:style w:type="paragraph" w:customStyle="1" w:styleId="280">
    <w:name w:val="正文001"/>
    <w:basedOn w:val="1"/>
    <w:link w:val="279"/>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1">
    <w:name w:val="标题 4 字符1"/>
    <w:autoRedefine/>
    <w:semiHidden/>
    <w:qFormat/>
    <w:locked/>
    <w:uiPriority w:val="0"/>
    <w:rPr>
      <w:rFonts w:ascii="Arial" w:hAnsi="Arial" w:eastAsia="黑体"/>
      <w:kern w:val="2"/>
      <w:sz w:val="28"/>
      <w:szCs w:val="28"/>
    </w:rPr>
  </w:style>
  <w:style w:type="character" w:customStyle="1" w:styleId="282">
    <w:name w:val="样式1 Char"/>
    <w:link w:val="283"/>
    <w:autoRedefine/>
    <w:qFormat/>
    <w:uiPriority w:val="0"/>
    <w:rPr>
      <w:rFonts w:ascii="Arial" w:hAnsi="Arial" w:eastAsia="仿宋_GB2312"/>
      <w:b/>
      <w:kern w:val="2"/>
      <w:sz w:val="36"/>
      <w:szCs w:val="24"/>
      <w:lang w:val="zh-CN"/>
    </w:rPr>
  </w:style>
  <w:style w:type="paragraph" w:customStyle="1" w:styleId="283">
    <w:name w:val="样式1"/>
    <w:basedOn w:val="1"/>
    <w:link w:val="282"/>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4">
    <w:name w:val="1级标题 Char"/>
    <w:link w:val="285"/>
    <w:qFormat/>
    <w:uiPriority w:val="0"/>
    <w:rPr>
      <w:rFonts w:ascii="Arial" w:hAnsi="Arial"/>
      <w:b/>
      <w:kern w:val="2"/>
      <w:sz w:val="32"/>
      <w:szCs w:val="24"/>
      <w:lang w:val="zh-CN"/>
    </w:rPr>
  </w:style>
  <w:style w:type="paragraph" w:customStyle="1" w:styleId="285">
    <w:name w:val="1级标题"/>
    <w:basedOn w:val="1"/>
    <w:link w:val="284"/>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6">
    <w:name w:val="表格内容 Char Char"/>
    <w:link w:val="287"/>
    <w:qFormat/>
    <w:uiPriority w:val="0"/>
    <w:rPr>
      <w:rFonts w:ascii="Arial" w:hAnsi="Arial" w:eastAsia="仿宋_GB2312"/>
      <w:sz w:val="24"/>
      <w:lang w:val="zh-CN"/>
    </w:rPr>
  </w:style>
  <w:style w:type="paragraph" w:customStyle="1" w:styleId="287">
    <w:name w:val="表格内容"/>
    <w:basedOn w:val="1"/>
    <w:link w:val="286"/>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8">
    <w:name w:val="表头1 Char"/>
    <w:link w:val="289"/>
    <w:autoRedefine/>
    <w:qFormat/>
    <w:uiPriority w:val="0"/>
    <w:rPr>
      <w:rFonts w:ascii="Arial" w:hAnsi="Arial"/>
      <w:b/>
      <w:bCs/>
      <w:kern w:val="24"/>
      <w:sz w:val="24"/>
      <w:szCs w:val="24"/>
      <w:lang w:val="zh-CN"/>
    </w:rPr>
  </w:style>
  <w:style w:type="paragraph" w:customStyle="1" w:styleId="289">
    <w:name w:val="表头1"/>
    <w:basedOn w:val="1"/>
    <w:link w:val="288"/>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0">
    <w:name w:val="标题 3 字符1"/>
    <w:semiHidden/>
    <w:qFormat/>
    <w:uiPriority w:val="0"/>
    <w:rPr>
      <w:rFonts w:ascii="等线" w:hAnsi="等线" w:eastAsia="等线"/>
      <w:b/>
      <w:bCs/>
      <w:kern w:val="2"/>
      <w:sz w:val="32"/>
      <w:szCs w:val="32"/>
    </w:rPr>
  </w:style>
  <w:style w:type="character" w:customStyle="1" w:styleId="291">
    <w:name w:val="表头 Char"/>
    <w:link w:val="292"/>
    <w:qFormat/>
    <w:uiPriority w:val="0"/>
    <w:rPr>
      <w:rFonts w:ascii="Arial" w:hAnsi="Arial" w:eastAsia="黑体"/>
      <w:spacing w:val="-10"/>
      <w:sz w:val="21"/>
      <w:lang w:val="zh-CN"/>
    </w:rPr>
  </w:style>
  <w:style w:type="paragraph" w:customStyle="1" w:styleId="292">
    <w:name w:val="表头"/>
    <w:basedOn w:val="1"/>
    <w:link w:val="291"/>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3">
    <w:name w:val="标题 2 字符1"/>
    <w:semiHidden/>
    <w:qFormat/>
    <w:uiPriority w:val="0"/>
    <w:rPr>
      <w:rFonts w:ascii="等线 Light" w:hAnsi="等线 Light" w:eastAsia="等线 Light" w:cs="Times New Roman"/>
      <w:b/>
      <w:bCs/>
      <w:kern w:val="2"/>
      <w:sz w:val="32"/>
      <w:szCs w:val="32"/>
    </w:rPr>
  </w:style>
  <w:style w:type="character" w:customStyle="1" w:styleId="294">
    <w:name w:val="表格文字 Char"/>
    <w:link w:val="295"/>
    <w:qFormat/>
    <w:uiPriority w:val="0"/>
    <w:rPr>
      <w:rFonts w:ascii="Arial" w:hAnsi="Arial"/>
      <w:kern w:val="2"/>
      <w:sz w:val="21"/>
      <w:lang w:val="zh-CN"/>
    </w:rPr>
  </w:style>
  <w:style w:type="paragraph" w:customStyle="1" w:styleId="295">
    <w:name w:val="表格文字"/>
    <w:basedOn w:val="1"/>
    <w:link w:val="294"/>
    <w:qFormat/>
    <w:uiPriority w:val="0"/>
    <w:pPr>
      <w:spacing w:line="400" w:lineRule="exact"/>
      <w:jc w:val="center"/>
    </w:pPr>
    <w:rPr>
      <w:rFonts w:ascii="Arial" w:hAnsi="Arial" w:eastAsiaTheme="minorEastAsia" w:cstheme="minorBidi"/>
      <w:szCs w:val="20"/>
      <w:lang w:val="zh-CN"/>
    </w:rPr>
  </w:style>
  <w:style w:type="character" w:customStyle="1" w:styleId="296">
    <w:name w:val="样式 居中 Char"/>
    <w:link w:val="297"/>
    <w:qFormat/>
    <w:locked/>
    <w:uiPriority w:val="0"/>
    <w:rPr>
      <w:rFonts w:ascii="宋体" w:hAnsi="宋体" w:cs="宋体"/>
      <w:b/>
    </w:rPr>
  </w:style>
  <w:style w:type="paragraph" w:customStyle="1" w:styleId="297">
    <w:name w:val="样式 居中"/>
    <w:basedOn w:val="1"/>
    <w:link w:val="296"/>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8">
    <w:name w:val="表格题注 Char Char Char Char"/>
    <w:link w:val="299"/>
    <w:autoRedefine/>
    <w:qFormat/>
    <w:uiPriority w:val="0"/>
    <w:rPr>
      <w:b/>
      <w:kern w:val="2"/>
      <w:sz w:val="24"/>
      <w:szCs w:val="24"/>
    </w:rPr>
  </w:style>
  <w:style w:type="paragraph" w:customStyle="1" w:styleId="299">
    <w:name w:val="表格题注 Char Char Char"/>
    <w:basedOn w:val="21"/>
    <w:link w:val="298"/>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300">
    <w:name w:val="题注 字符"/>
    <w:autoRedefine/>
    <w:semiHidden/>
    <w:qFormat/>
    <w:locked/>
    <w:uiPriority w:val="35"/>
    <w:rPr>
      <w:rFonts w:ascii="Arial" w:hAnsi="Arial" w:eastAsia="黑体" w:cs="Arial"/>
      <w:kern w:val="2"/>
      <w:sz w:val="21"/>
      <w:szCs w:val="22"/>
    </w:rPr>
  </w:style>
  <w:style w:type="character" w:customStyle="1" w:styleId="301">
    <w:name w:val="表格下方正文 Char"/>
    <w:link w:val="302"/>
    <w:qFormat/>
    <w:uiPriority w:val="0"/>
    <w:rPr>
      <w:rFonts w:ascii="Arial" w:hAnsi="Arial"/>
      <w:color w:val="000000"/>
      <w:sz w:val="24"/>
      <w:szCs w:val="24"/>
      <w:lang w:val="zh-CN"/>
    </w:rPr>
  </w:style>
  <w:style w:type="paragraph" w:customStyle="1" w:styleId="302">
    <w:name w:val="表格下方正文"/>
    <w:basedOn w:val="1"/>
    <w:link w:val="301"/>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3">
    <w:name w:val="正文文本缩进 字符1"/>
    <w:semiHidden/>
    <w:qFormat/>
    <w:locked/>
    <w:uiPriority w:val="0"/>
    <w:rPr>
      <w:kern w:val="2"/>
      <w:sz w:val="24"/>
      <w:szCs w:val="24"/>
    </w:rPr>
  </w:style>
  <w:style w:type="character" w:customStyle="1" w:styleId="304">
    <w:name w:val="三级标题 Char"/>
    <w:link w:val="305"/>
    <w:autoRedefine/>
    <w:qFormat/>
    <w:uiPriority w:val="0"/>
    <w:rPr>
      <w:rFonts w:ascii="Arial" w:hAnsi="Arial"/>
      <w:b/>
      <w:color w:val="000000"/>
      <w:sz w:val="24"/>
      <w:szCs w:val="24"/>
      <w:lang w:val="zh-CN"/>
    </w:rPr>
  </w:style>
  <w:style w:type="paragraph" w:customStyle="1" w:styleId="305">
    <w:name w:val="三级标题"/>
    <w:basedOn w:val="1"/>
    <w:link w:val="304"/>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6">
    <w:name w:val="正文缩进 字符3"/>
    <w:qFormat/>
    <w:uiPriority w:val="0"/>
    <w:rPr>
      <w:rFonts w:ascii="Arial" w:hAnsi="Arial" w:eastAsia="宋体" w:cs="Arial"/>
      <w:spacing w:val="10"/>
      <w:kern w:val="2"/>
      <w:sz w:val="24"/>
      <w:lang w:val="en-US" w:eastAsia="zh-CN" w:bidi="ar-SA"/>
    </w:rPr>
  </w:style>
  <w:style w:type="character" w:customStyle="1" w:styleId="307">
    <w:name w:val="二级标题 Char"/>
    <w:link w:val="308"/>
    <w:autoRedefine/>
    <w:qFormat/>
    <w:uiPriority w:val="0"/>
    <w:rPr>
      <w:rFonts w:ascii="Arial" w:hAnsi="Arial"/>
      <w:b/>
      <w:kern w:val="2"/>
      <w:sz w:val="28"/>
      <w:szCs w:val="24"/>
      <w:lang w:val="zh-CN"/>
    </w:rPr>
  </w:style>
  <w:style w:type="paragraph" w:customStyle="1" w:styleId="308">
    <w:name w:val="二级标题"/>
    <w:basedOn w:val="1"/>
    <w:link w:val="307"/>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09">
    <w:name w:val="标题 1 字符1"/>
    <w:autoRedefine/>
    <w:qFormat/>
    <w:uiPriority w:val="0"/>
    <w:rPr>
      <w:rFonts w:ascii="等线" w:hAnsi="等线" w:eastAsia="等线"/>
      <w:b/>
      <w:bCs/>
      <w:kern w:val="44"/>
      <w:sz w:val="44"/>
      <w:szCs w:val="44"/>
    </w:rPr>
  </w:style>
  <w:style w:type="character" w:customStyle="1" w:styleId="310">
    <w:name w:val="正文1 Char1"/>
    <w:link w:val="311"/>
    <w:autoRedefine/>
    <w:qFormat/>
    <w:uiPriority w:val="0"/>
    <w:rPr>
      <w:rFonts w:ascii="Arial" w:hAnsi="Arial"/>
      <w:kern w:val="2"/>
      <w:sz w:val="24"/>
      <w:lang w:val="zh-CN"/>
    </w:rPr>
  </w:style>
  <w:style w:type="paragraph" w:customStyle="1" w:styleId="311">
    <w:name w:val="正文1"/>
    <w:basedOn w:val="1"/>
    <w:link w:val="310"/>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2">
    <w:name w:val="B图号 Char"/>
    <w:link w:val="313"/>
    <w:qFormat/>
    <w:uiPriority w:val="0"/>
    <w:rPr>
      <w:b/>
      <w:bCs/>
      <w:kern w:val="2"/>
      <w:sz w:val="21"/>
      <w:szCs w:val="21"/>
    </w:rPr>
  </w:style>
  <w:style w:type="paragraph" w:customStyle="1" w:styleId="313">
    <w:name w:val="B图号"/>
    <w:basedOn w:val="35"/>
    <w:link w:val="312"/>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4">
    <w:name w:val="表格文字2 Char"/>
    <w:link w:val="315"/>
    <w:autoRedefine/>
    <w:qFormat/>
    <w:uiPriority w:val="0"/>
    <w:rPr>
      <w:rFonts w:ascii="宋体" w:hAnsi="Arial"/>
      <w:kern w:val="2"/>
      <w:sz w:val="21"/>
      <w:szCs w:val="24"/>
      <w:lang w:val="zh-CN"/>
    </w:rPr>
  </w:style>
  <w:style w:type="paragraph" w:customStyle="1" w:styleId="315">
    <w:name w:val="表格文字2"/>
    <w:basedOn w:val="1"/>
    <w:link w:val="314"/>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6">
    <w:name w:val="0表X Char"/>
    <w:link w:val="317"/>
    <w:autoRedefine/>
    <w:qFormat/>
    <w:uiPriority w:val="0"/>
    <w:rPr>
      <w:b/>
      <w:kern w:val="2"/>
      <w:sz w:val="21"/>
      <w:szCs w:val="21"/>
    </w:rPr>
  </w:style>
  <w:style w:type="paragraph" w:customStyle="1" w:styleId="317">
    <w:name w:val="0表X"/>
    <w:basedOn w:val="6"/>
    <w:link w:val="316"/>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8">
    <w:name w:val="标头 Char"/>
    <w:link w:val="319"/>
    <w:qFormat/>
    <w:uiPriority w:val="0"/>
    <w:rPr>
      <w:rFonts w:ascii="Arial" w:hAnsi="Arial" w:eastAsia="黑体" w:cs="Arial"/>
      <w:kern w:val="2"/>
      <w:sz w:val="21"/>
      <w:szCs w:val="21"/>
    </w:rPr>
  </w:style>
  <w:style w:type="paragraph" w:customStyle="1" w:styleId="319">
    <w:name w:val="标头"/>
    <w:basedOn w:val="1"/>
    <w:link w:val="318"/>
    <w:autoRedefine/>
    <w:qFormat/>
    <w:uiPriority w:val="0"/>
    <w:pPr>
      <w:spacing w:line="360" w:lineRule="auto"/>
      <w:jc w:val="center"/>
    </w:pPr>
    <w:rPr>
      <w:rFonts w:ascii="Arial" w:hAnsi="Arial" w:eastAsia="黑体" w:cs="Arial"/>
    </w:rPr>
  </w:style>
  <w:style w:type="character" w:customStyle="1" w:styleId="320">
    <w:name w:val="正文缩进 Char3"/>
    <w:autoRedefine/>
    <w:qFormat/>
    <w:uiPriority w:val="0"/>
    <w:rPr>
      <w:rFonts w:ascii="Arial Narrow" w:hAnsi="Arial Narrow" w:eastAsia="宋体"/>
      <w:kern w:val="2"/>
      <w:sz w:val="24"/>
      <w:lang w:val="en-US" w:eastAsia="zh-CN" w:bidi="ar-SA"/>
    </w:rPr>
  </w:style>
  <w:style w:type="character" w:customStyle="1" w:styleId="321">
    <w:name w:val="样式3 Char"/>
    <w:link w:val="322"/>
    <w:qFormat/>
    <w:uiPriority w:val="0"/>
    <w:rPr>
      <w:rFonts w:ascii="Arial" w:hAnsi="Arial"/>
      <w:b/>
      <w:bCs/>
      <w:sz w:val="24"/>
      <w:szCs w:val="24"/>
      <w:lang w:val="zh-CN"/>
    </w:rPr>
  </w:style>
  <w:style w:type="paragraph" w:customStyle="1" w:styleId="322">
    <w:name w:val="样式3"/>
    <w:basedOn w:val="5"/>
    <w:link w:val="321"/>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3">
    <w:name w:val="正文000000000000000 宋体 小四 黑色 首行缩进:  0.85 厘米 行距: 固定值 22 磅 Char"/>
    <w:link w:val="324"/>
    <w:qFormat/>
    <w:uiPriority w:val="0"/>
    <w:rPr>
      <w:rFonts w:cs="宋体"/>
      <w:color w:val="000000"/>
      <w:kern w:val="2"/>
      <w:sz w:val="24"/>
      <w:szCs w:val="24"/>
    </w:rPr>
  </w:style>
  <w:style w:type="paragraph" w:customStyle="1" w:styleId="324">
    <w:name w:val="正文000000000000000 宋体 小四 黑色 首行缩进:  0.85 厘米 行距: 固定值 22 磅"/>
    <w:basedOn w:val="1"/>
    <w:link w:val="323"/>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5">
    <w:name w:val="未处理的提及1"/>
    <w:autoRedefine/>
    <w:unhideWhenUsed/>
    <w:qFormat/>
    <w:uiPriority w:val="99"/>
    <w:rPr>
      <w:color w:val="605E5C"/>
      <w:shd w:val="clear" w:color="auto" w:fill="E1DFDD"/>
    </w:rPr>
  </w:style>
  <w:style w:type="character" w:customStyle="1" w:styleId="326">
    <w:name w:val="信息表 Char"/>
    <w:link w:val="327"/>
    <w:qFormat/>
    <w:uiPriority w:val="0"/>
    <w:rPr>
      <w:rFonts w:eastAsia="仿宋_GB2312"/>
      <w:kern w:val="2"/>
      <w:sz w:val="22"/>
      <w:szCs w:val="22"/>
    </w:rPr>
  </w:style>
  <w:style w:type="paragraph" w:customStyle="1" w:styleId="327">
    <w:name w:val="信息表"/>
    <w:next w:val="1"/>
    <w:link w:val="326"/>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8">
    <w:name w:val="表标题... Char"/>
    <w:qFormat/>
    <w:uiPriority w:val="0"/>
    <w:rPr>
      <w:rFonts w:ascii="Arial" w:hAnsi="Arial"/>
      <w:b/>
      <w:color w:val="800080"/>
      <w:kern w:val="2"/>
      <w:sz w:val="24"/>
    </w:rPr>
  </w:style>
  <w:style w:type="character" w:customStyle="1" w:styleId="329">
    <w:name w:val="Default Char"/>
    <w:link w:val="330"/>
    <w:qFormat/>
    <w:uiPriority w:val="0"/>
    <w:rPr>
      <w:rFonts w:ascii="仿宋_GB2312" w:eastAsia="仿宋_GB2312"/>
      <w:color w:val="000000"/>
      <w:sz w:val="24"/>
      <w:szCs w:val="24"/>
    </w:rPr>
  </w:style>
  <w:style w:type="paragraph" w:customStyle="1" w:styleId="330">
    <w:name w:val="Default"/>
    <w:link w:val="329"/>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1">
    <w:name w:val="样式 标题 3标题 3 Char标题 一小节标题头条标题1.1.1小标题3h33rd levelH3l3... Char"/>
    <w:link w:val="332"/>
    <w:autoRedefine/>
    <w:qFormat/>
    <w:uiPriority w:val="0"/>
    <w:rPr>
      <w:b/>
      <w:color w:val="0099FF"/>
      <w:kern w:val="2"/>
      <w:sz w:val="24"/>
    </w:rPr>
  </w:style>
  <w:style w:type="paragraph" w:customStyle="1" w:styleId="332">
    <w:name w:val="样式 标题 3标题 3 Char标题 一小节标题头条标题1.1.1小标题3h33rd levelH3l3..."/>
    <w:basedOn w:val="5"/>
    <w:next w:val="324"/>
    <w:link w:val="331"/>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3">
    <w:name w:val="常用表格样式 Char1"/>
    <w:link w:val="334"/>
    <w:autoRedefine/>
    <w:qFormat/>
    <w:uiPriority w:val="0"/>
    <w:rPr>
      <w:rFonts w:ascii="宋体" w:hAnsi="新宋体" w:eastAsia="仿宋_GB2312"/>
      <w:spacing w:val="2"/>
      <w:kern w:val="2"/>
      <w:sz w:val="18"/>
      <w:szCs w:val="21"/>
    </w:rPr>
  </w:style>
  <w:style w:type="paragraph" w:customStyle="1" w:styleId="334">
    <w:name w:val="常用表格样式"/>
    <w:basedOn w:val="1"/>
    <w:next w:val="1"/>
    <w:link w:val="333"/>
    <w:autoRedefine/>
    <w:qFormat/>
    <w:uiPriority w:val="0"/>
    <w:pPr>
      <w:jc w:val="center"/>
    </w:pPr>
    <w:rPr>
      <w:rFonts w:ascii="宋体" w:hAnsi="新宋体" w:eastAsia="仿宋_GB2312" w:cstheme="minorBidi"/>
      <w:spacing w:val="2"/>
      <w:sz w:val="18"/>
    </w:rPr>
  </w:style>
  <w:style w:type="character" w:customStyle="1" w:styleId="335">
    <w:name w:val="样式 Arial 11.5 磅"/>
    <w:autoRedefine/>
    <w:qFormat/>
    <w:uiPriority w:val="0"/>
    <w:rPr>
      <w:rFonts w:ascii="Arial" w:hAnsi="Arial"/>
      <w:sz w:val="24"/>
    </w:rPr>
  </w:style>
  <w:style w:type="character" w:customStyle="1" w:styleId="336">
    <w:name w:val="1 Char"/>
    <w:link w:val="337"/>
    <w:autoRedefine/>
    <w:qFormat/>
    <w:uiPriority w:val="0"/>
    <w:rPr>
      <w:rFonts w:eastAsia="仿宋_GB2312"/>
      <w:kern w:val="2"/>
      <w:sz w:val="28"/>
      <w:lang w:val="zh-CN"/>
    </w:rPr>
  </w:style>
  <w:style w:type="paragraph" w:customStyle="1" w:styleId="337">
    <w:name w:val="1"/>
    <w:basedOn w:val="1"/>
    <w:next w:val="21"/>
    <w:link w:val="336"/>
    <w:autoRedefine/>
    <w:qFormat/>
    <w:uiPriority w:val="0"/>
    <w:pPr>
      <w:ind w:firstLine="602"/>
    </w:pPr>
    <w:rPr>
      <w:rFonts w:eastAsia="仿宋_GB2312" w:asciiTheme="minorHAnsi" w:hAnsiTheme="minorHAnsi" w:cstheme="minorBidi"/>
      <w:sz w:val="28"/>
      <w:szCs w:val="20"/>
      <w:lang w:val="zh-CN"/>
    </w:rPr>
  </w:style>
  <w:style w:type="character" w:customStyle="1" w:styleId="338">
    <w:name w:val="正文文本 Char2"/>
    <w:autoRedefine/>
    <w:qFormat/>
    <w:uiPriority w:val="0"/>
    <w:rPr>
      <w:b/>
      <w:bCs/>
      <w:kern w:val="2"/>
      <w:sz w:val="24"/>
      <w:szCs w:val="24"/>
    </w:rPr>
  </w:style>
  <w:style w:type="character" w:customStyle="1" w:styleId="339">
    <w:name w:val="表格内标 Char Char"/>
    <w:link w:val="340"/>
    <w:autoRedefine/>
    <w:qFormat/>
    <w:uiPriority w:val="0"/>
    <w:rPr>
      <w:rFonts w:ascii="黑体" w:eastAsia="黑体"/>
    </w:rPr>
  </w:style>
  <w:style w:type="paragraph" w:customStyle="1" w:styleId="340">
    <w:name w:val="表格内标"/>
    <w:basedOn w:val="1"/>
    <w:next w:val="1"/>
    <w:link w:val="339"/>
    <w:autoRedefine/>
    <w:qFormat/>
    <w:uiPriority w:val="0"/>
    <w:pPr>
      <w:keepNext/>
      <w:keepLines/>
      <w:jc w:val="center"/>
    </w:pPr>
    <w:rPr>
      <w:rFonts w:ascii="黑体" w:eastAsia="黑体" w:hAnsiTheme="minorHAnsi" w:cstheme="minorBidi"/>
      <w:kern w:val="0"/>
      <w:sz w:val="20"/>
      <w:szCs w:val="20"/>
    </w:rPr>
  </w:style>
  <w:style w:type="character" w:customStyle="1" w:styleId="341">
    <w:name w:val="p0 Char"/>
    <w:link w:val="342"/>
    <w:autoRedefine/>
    <w:qFormat/>
    <w:uiPriority w:val="0"/>
    <w:rPr>
      <w:sz w:val="21"/>
      <w:szCs w:val="21"/>
    </w:rPr>
  </w:style>
  <w:style w:type="paragraph" w:customStyle="1" w:styleId="342">
    <w:name w:val="p0"/>
    <w:basedOn w:val="1"/>
    <w:link w:val="341"/>
    <w:autoRedefine/>
    <w:qFormat/>
    <w:uiPriority w:val="0"/>
    <w:pPr>
      <w:widowControl/>
    </w:pPr>
    <w:rPr>
      <w:rFonts w:asciiTheme="minorHAnsi" w:hAnsiTheme="minorHAnsi" w:eastAsiaTheme="minorEastAsia" w:cstheme="minorBidi"/>
      <w:kern w:val="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ind w:firstLine="200"/>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3"/>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basedOn w:val="98"/>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330"/>
    <w:next w:val="330"/>
    <w:autoRedefine/>
    <w:qFormat/>
    <w:uiPriority w:val="0"/>
    <w:rPr>
      <w:rFonts w:ascii="宋体" w:hAnsi="Calibri" w:eastAsia="宋体"/>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59"/>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5"/>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330"/>
    <w:next w:val="330"/>
    <w:autoRedefine/>
    <w:qFormat/>
    <w:uiPriority w:val="0"/>
    <w:rPr>
      <w:rFonts w:ascii="宋体" w:hAnsi="Calibri" w:eastAsia="宋体"/>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3"/>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2"/>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5"/>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1"/>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330"/>
    <w:next w:val="330"/>
    <w:autoRedefine/>
    <w:qFormat/>
    <w:uiPriority w:val="0"/>
    <w:rPr>
      <w:rFonts w:ascii="宋体" w:hAnsi="Calibri" w:eastAsia="宋体"/>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1"/>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0"/>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08"/>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1"/>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5"/>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1"/>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69"/>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330"/>
    <w:next w:val="330"/>
    <w:qFormat/>
    <w:uiPriority w:val="0"/>
    <w:pPr>
      <w:spacing w:line="460" w:lineRule="atLeast"/>
    </w:pPr>
    <w:rPr>
      <w:rFonts w:ascii="宋体" w:hAnsi="Calibri" w:eastAsia="宋体"/>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5"/>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1"/>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1"/>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ind w:firstLine="0"/>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7"/>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1"/>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2"/>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0"/>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5"/>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330"/>
    <w:next w:val="330"/>
    <w:autoRedefine/>
    <w:qFormat/>
    <w:uiPriority w:val="0"/>
    <w:pPr>
      <w:spacing w:line="463" w:lineRule="atLeast"/>
    </w:pPr>
    <w:rPr>
      <w:rFonts w:ascii="宋体" w:hAnsi="Calibri" w:eastAsia="宋体"/>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330"/>
    <w:next w:val="330"/>
    <w:autoRedefine/>
    <w:qFormat/>
    <w:uiPriority w:val="0"/>
    <w:pPr>
      <w:spacing w:line="463" w:lineRule="atLeast"/>
    </w:pPr>
    <w:rPr>
      <w:rFonts w:ascii="宋体" w:hAnsi="Calibri" w:eastAsia="宋体"/>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3"/>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7"/>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7"/>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7"/>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330"/>
    <w:next w:val="330"/>
    <w:autoRedefine/>
    <w:qFormat/>
    <w:uiPriority w:val="0"/>
    <w:rPr>
      <w:rFonts w:ascii="宋体" w:eastAsia="宋体"/>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3"/>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87"/>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99"/>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27"/>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1"/>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 w:type="paragraph" w:customStyle="1" w:styleId="1966">
    <w:name w:val="WPSOffice手动目录 1"/>
    <w:qFormat/>
    <w:uiPriority w:val="0"/>
    <w:rPr>
      <w:rFonts w:ascii="Times New Roman" w:hAnsi="Times New Roman" w:eastAsia="宋体" w:cs="Times New Roman"/>
      <w:lang w:val="en-US" w:eastAsia="zh-CN" w:bidi="ar-SA"/>
    </w:rPr>
  </w:style>
  <w:style w:type="paragraph" w:customStyle="1" w:styleId="196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968">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em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50</Pages>
  <Words>2929</Words>
  <Characters>3338</Characters>
  <Lines>191</Lines>
  <Paragraphs>53</Paragraphs>
  <TotalTime>87</TotalTime>
  <ScaleCrop>false</ScaleCrop>
  <LinksUpToDate>false</LinksUpToDate>
  <CharactersWithSpaces>3422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2025-04-14T08:19:59Z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50AABC1C111E4DE6A116027B51DABCE1</vt:lpwstr>
  </property>
  <property fmtid="{D5CDD505-2E9C-101B-9397-08002B2CF9AE}" pid="4" name="KSOTemplateDocerSaveRecord">
    <vt:lpwstr>eyJoZGlkIjoiMzEwNTM5NzYwMDRjMzkwZTVkZjY2ODkwMGIxNGU0OTUiLCJ1c2VySWQiOiI0MzUwNDU1NDcifQ==</vt:lpwstr>
  </property>
</Properties>
</file>