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698F4">
      <w:pPr>
        <w:autoSpaceDE w:val="0"/>
        <w:spacing w:line="260" w:lineRule="atLeast"/>
        <w:ind w:left="2128"/>
        <w:outlineLvl w:val="0"/>
        <w:rPr>
          <w:rFonts w:ascii="宋体" w:hAnsi="宋体"/>
          <w:sz w:val="43"/>
          <w:szCs w:val="43"/>
        </w:rPr>
      </w:pPr>
      <w:r>
        <w:rPr>
          <w:rFonts w:hint="eastAsia" w:ascii="宋体" w:hAnsi="宋体"/>
          <w:spacing w:val="8"/>
          <w:sz w:val="43"/>
          <w:szCs w:val="43"/>
        </w:rPr>
        <w:t>建设项目环境影响登记表</w:t>
      </w:r>
    </w:p>
    <w:p w14:paraId="584115FC">
      <w:pPr>
        <w:autoSpaceDE w:val="0"/>
        <w:spacing w:line="260" w:lineRule="atLeast"/>
        <w:ind w:left="794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（适用于环境影响报告表简化为环境影响</w:t>
      </w:r>
      <w:r>
        <w:rPr>
          <w:rFonts w:hint="eastAsia" w:ascii="仿宋" w:hAnsi="仿宋" w:eastAsia="仿宋"/>
          <w:spacing w:val="-1"/>
          <w:sz w:val="30"/>
          <w:szCs w:val="30"/>
        </w:rPr>
        <w:t>登记表的项目）</w:t>
      </w:r>
    </w:p>
    <w:p w14:paraId="79488723">
      <w:pPr>
        <w:autoSpaceDE w:val="0"/>
        <w:spacing w:line="260" w:lineRule="atLeast"/>
        <w:ind w:right="472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pacing w:val="-2"/>
          <w:sz w:val="24"/>
          <w:szCs w:val="24"/>
        </w:rPr>
        <w:t xml:space="preserve">                                    </w:t>
      </w:r>
      <w:r>
        <w:rPr>
          <w:rFonts w:hint="eastAsia" w:ascii="仿宋" w:hAnsi="仿宋" w:eastAsia="仿宋"/>
          <w:spacing w:val="-2"/>
          <w:sz w:val="24"/>
          <w:szCs w:val="24"/>
        </w:rPr>
        <w:t>填报日期：</w:t>
      </w:r>
    </w:p>
    <w:p w14:paraId="3816D1A7">
      <w:pPr>
        <w:spacing w:line="209" w:lineRule="exact"/>
      </w:pPr>
      <w:r>
        <w:t xml:space="preserve"> </w:t>
      </w:r>
    </w:p>
    <w:tbl>
      <w:tblPr>
        <w:tblStyle w:val="6"/>
        <w:tblW w:w="906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5"/>
        <w:gridCol w:w="1650"/>
        <w:gridCol w:w="865"/>
        <w:gridCol w:w="825"/>
        <w:gridCol w:w="2348"/>
        <w:gridCol w:w="1861"/>
      </w:tblGrid>
      <w:tr w14:paraId="10A20D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99D2B5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6"/>
                <w:sz w:val="21"/>
                <w:szCs w:val="21"/>
              </w:rPr>
              <w:t>项目名称</w:t>
            </w:r>
          </w:p>
        </w:tc>
        <w:tc>
          <w:tcPr>
            <w:tcW w:w="7549" w:type="dxa"/>
            <w:gridSpan w:val="5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4577C652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欧文斯科宁复合材料（中国）有限公司年产1.4万吨玻璃纤维多轴向增强材料技术改造及升级项目</w:t>
            </w:r>
          </w:p>
        </w:tc>
      </w:tr>
      <w:tr w14:paraId="1E281C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1515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8BFBD6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6"/>
                <w:sz w:val="21"/>
                <w:szCs w:val="21"/>
              </w:rPr>
              <w:t>建设地点</w:t>
            </w:r>
          </w:p>
        </w:tc>
        <w:tc>
          <w:tcPr>
            <w:tcW w:w="33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F561E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杭州余杭经济技术开发区宏达路118号</w:t>
            </w:r>
          </w:p>
        </w:tc>
        <w:tc>
          <w:tcPr>
            <w:tcW w:w="23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3738D1">
            <w:pPr>
              <w:pStyle w:val="11"/>
              <w:spacing w:before="185"/>
              <w:ind w:right="7"/>
              <w:jc w:val="right"/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pacing w:val="-16"/>
                <w:sz w:val="21"/>
                <w:szCs w:val="21"/>
              </w:rPr>
              <w:t>占地（建筑、营业）面积（m</w:t>
            </w:r>
            <w:r>
              <w:rPr>
                <w:rFonts w:hint="default" w:ascii="Times New Roman" w:hAnsi="Times New Roman" w:cs="Times New Roman" w:eastAsiaTheme="minorEastAsia"/>
                <w:spacing w:val="-16"/>
                <w:sz w:val="21"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1"/>
                <w:szCs w:val="21"/>
              </w:rPr>
              <w:t>）</w:t>
            </w:r>
          </w:p>
        </w:tc>
        <w:tc>
          <w:tcPr>
            <w:tcW w:w="1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15358A60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160005.6</w:t>
            </w:r>
          </w:p>
        </w:tc>
      </w:tr>
      <w:tr w14:paraId="2368C8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1515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284921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6"/>
                <w:sz w:val="21"/>
                <w:szCs w:val="21"/>
              </w:rPr>
              <w:t>建设单位</w:t>
            </w:r>
          </w:p>
        </w:tc>
        <w:tc>
          <w:tcPr>
            <w:tcW w:w="33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AB3C24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欧文斯科宁复合材料（中国）有限公司</w:t>
            </w:r>
          </w:p>
        </w:tc>
        <w:tc>
          <w:tcPr>
            <w:tcW w:w="23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FCABDE">
            <w:pPr>
              <w:pStyle w:val="11"/>
              <w:spacing w:before="104"/>
              <w:ind w:left="627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8"/>
                <w:position w:val="4"/>
                <w:sz w:val="21"/>
                <w:szCs w:val="21"/>
              </w:rPr>
              <w:t>法定代表人或者</w:t>
            </w:r>
          </w:p>
          <w:p w14:paraId="07CE646F">
            <w:pPr>
              <w:pStyle w:val="11"/>
              <w:ind w:left="84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>主要负责人</w:t>
            </w:r>
          </w:p>
        </w:tc>
        <w:tc>
          <w:tcPr>
            <w:tcW w:w="1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7F916AB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bookmarkStart w:id="0" w:name="OLE_LINK1"/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PAUL WEI</w:t>
            </w:r>
            <w:bookmarkEnd w:id="0"/>
          </w:p>
        </w:tc>
      </w:tr>
      <w:tr w14:paraId="7BD04A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515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F6A1C3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6"/>
                <w:sz w:val="21"/>
                <w:szCs w:val="21"/>
              </w:rPr>
              <w:t>联系人</w:t>
            </w:r>
          </w:p>
        </w:tc>
        <w:tc>
          <w:tcPr>
            <w:tcW w:w="33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E39157F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肖文胜</w:t>
            </w:r>
          </w:p>
        </w:tc>
        <w:tc>
          <w:tcPr>
            <w:tcW w:w="23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814A4B6">
            <w:pPr>
              <w:pStyle w:val="11"/>
              <w:spacing w:before="123"/>
              <w:ind w:left="942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>联系电话</w:t>
            </w:r>
          </w:p>
        </w:tc>
        <w:tc>
          <w:tcPr>
            <w:tcW w:w="1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1E0B198D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13332893670</w:t>
            </w:r>
          </w:p>
        </w:tc>
      </w:tr>
      <w:tr w14:paraId="5C2C0E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515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EB5717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项目投资(万元)</w:t>
            </w:r>
          </w:p>
        </w:tc>
        <w:tc>
          <w:tcPr>
            <w:tcW w:w="33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A3AD25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1750</w:t>
            </w:r>
          </w:p>
        </w:tc>
        <w:tc>
          <w:tcPr>
            <w:tcW w:w="23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0BAB583">
            <w:pPr>
              <w:pStyle w:val="11"/>
              <w:spacing w:before="126"/>
              <w:ind w:left="627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>环保投资(万元)</w:t>
            </w:r>
          </w:p>
        </w:tc>
        <w:tc>
          <w:tcPr>
            <w:tcW w:w="1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1F9CE27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50</w:t>
            </w:r>
          </w:p>
        </w:tc>
      </w:tr>
      <w:tr w14:paraId="1EEEB9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515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6834E7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拟投入生产运营日期</w:t>
            </w:r>
          </w:p>
        </w:tc>
        <w:tc>
          <w:tcPr>
            <w:tcW w:w="7549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6B99A358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2024年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月</w:t>
            </w:r>
          </w:p>
        </w:tc>
      </w:tr>
      <w:tr w14:paraId="1D03BD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515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0383E3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项目性质</w:t>
            </w:r>
          </w:p>
        </w:tc>
        <w:tc>
          <w:tcPr>
            <w:tcW w:w="7549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</w:tcPr>
          <w:p w14:paraId="28318F05">
            <w:pPr>
              <w:pStyle w:val="11"/>
              <w:spacing w:before="125"/>
              <w:ind w:left="131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"/>
                <w:sz w:val="21"/>
                <w:szCs w:val="21"/>
              </w:rPr>
              <w:t>□新建</w:t>
            </w:r>
            <w:r>
              <w:rPr>
                <w:rFonts w:hint="default" w:ascii="Times New Roman" w:hAnsi="Times New Roman" w:cs="Times New Roman"/>
                <w:spacing w:val="13"/>
                <w:sz w:val="21"/>
                <w:szCs w:val="21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-1"/>
                <w:sz w:val="21"/>
                <w:szCs w:val="21"/>
              </w:rPr>
              <w:t>□改建</w:t>
            </w:r>
            <w:r>
              <w:rPr>
                <w:rFonts w:hint="default" w:ascii="Times New Roman" w:hAnsi="Times New Roman" w:cs="Times New Roman"/>
                <w:spacing w:val="13"/>
                <w:sz w:val="21"/>
                <w:szCs w:val="21"/>
              </w:rPr>
              <w:t xml:space="preserve">    </w:t>
            </w:r>
            <w:r>
              <w:rPr>
                <w:rFonts w:hint="default" w:ascii="Times New Roman" w:hAnsi="Times New Roman" w:cs="Times New Roman"/>
                <w:spacing w:val="-1"/>
                <w:sz w:val="21"/>
                <w:szCs w:val="21"/>
                <w:lang w:eastAsia="zh-CN"/>
              </w:rPr>
              <w:t>☑</w:t>
            </w:r>
            <w:r>
              <w:rPr>
                <w:rFonts w:hint="default" w:ascii="Times New Roman" w:hAnsi="Times New Roman" w:cs="Times New Roman"/>
                <w:spacing w:val="-1"/>
                <w:sz w:val="21"/>
                <w:szCs w:val="21"/>
              </w:rPr>
              <w:t>扩建</w:t>
            </w:r>
          </w:p>
        </w:tc>
      </w:tr>
      <w:tr w14:paraId="25F2B9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  <w:jc w:val="center"/>
        </w:trPr>
        <w:tc>
          <w:tcPr>
            <w:tcW w:w="1515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D407EE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承诺备案依据</w:t>
            </w:r>
          </w:p>
        </w:tc>
        <w:tc>
          <w:tcPr>
            <w:tcW w:w="7549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</w:tcPr>
          <w:p w14:paraId="66B4CEBE">
            <w:pPr>
              <w:pStyle w:val="11"/>
              <w:spacing w:before="127"/>
              <w:ind w:left="114" w:right="105" w:firstLine="17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8"/>
                <w:sz w:val="21"/>
                <w:szCs w:val="21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spacing w:val="8"/>
                <w:sz w:val="21"/>
                <w:szCs w:val="21"/>
              </w:rPr>
              <w:t>临平国家级经济技术开发区“区域环评+环境标准”改革区域内，环境影响报告表</w:t>
            </w: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>简化为环境影响</w:t>
            </w:r>
            <w:r>
              <w:rPr>
                <w:rFonts w:hint="default" w:ascii="Times New Roman" w:hAnsi="Times New Roman" w:cs="Times New Roman"/>
                <w:spacing w:val="8"/>
                <w:sz w:val="21"/>
                <w:szCs w:val="21"/>
              </w:rPr>
              <w:t>登记表的建设项目</w:t>
            </w:r>
          </w:p>
        </w:tc>
      </w:tr>
      <w:tr w14:paraId="6C2A10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  <w:jc w:val="center"/>
        </w:trPr>
        <w:tc>
          <w:tcPr>
            <w:tcW w:w="1515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C611E9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建设内容及规模</w:t>
            </w:r>
          </w:p>
        </w:tc>
        <w:tc>
          <w:tcPr>
            <w:tcW w:w="7549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</w:tcPr>
          <w:p w14:paraId="353F73DE">
            <w:pPr>
              <w:pStyle w:val="11"/>
              <w:spacing w:before="115"/>
              <w:ind w:left="108" w:right="105" w:firstLine="22"/>
              <w:rPr>
                <w:rFonts w:hint="default" w:ascii="Times New Roman" w:hAnsi="Times New Roman" w:cs="Times New Roman"/>
                <w:spacing w:val="8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13"/>
                <w:sz w:val="21"/>
                <w:szCs w:val="21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spacing w:val="13"/>
                <w:sz w:val="21"/>
                <w:szCs w:val="21"/>
              </w:rPr>
              <w:t>工业生产类项目□生态影响类项目□畜禽养殖类项目□核工业类项目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>（核设施的非放射性和非安全重要建设项目）□核技术利用类项目□电磁</w:t>
            </w:r>
            <w:r>
              <w:rPr>
                <w:rFonts w:hint="default" w:ascii="Times New Roman" w:hAnsi="Times New Roman" w:cs="Times New Roman"/>
                <w:spacing w:val="8"/>
                <w:sz w:val="21"/>
                <w:szCs w:val="21"/>
              </w:rPr>
              <w:t>辐射类项目</w:t>
            </w:r>
          </w:p>
          <w:p w14:paraId="01190D8F">
            <w:pPr>
              <w:pStyle w:val="11"/>
              <w:ind w:left="108" w:right="108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欧文斯科宁复合材料(中国)有限公司拟投资250万美元（折合人民币1750万元）在现有厂区内实施年产1.4万吨玻璃纤维多轴向增强材料技术改造及升级项目，项目建设内容包括：1、新增经编织布机、裁切机，玻璃纤维多轴向增强材料生产能力增加1.4万t/a；2、为提高可持续发展水平，工厂不断致力于固废减量资源化和能源效率的提高，新增1套玻璃纤维丝粉碎回用系统对现有部分废玻璃丝进行粉碎处理，粉碎后回用生产，实现固废的资源化；3、能效提高方面由于工厂不断致力于能效的提高，从而实现了蒸汽锅炉的规模的降低，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采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用2台1t/h燃气蒸汽锅炉（蒸汽发生器）替代现有的1台8/h燃气蒸汽锅炉；4、由于市场发展方向的调整，停止现有短丝生产线的运营。项目建成后，不会影响全厂玻璃纤维产能，即年产8万吨无碱池窑拉丝玻璃纤维。</w:t>
            </w:r>
          </w:p>
        </w:tc>
      </w:tr>
      <w:tr w14:paraId="2C28EF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5" w:hRule="atLeast"/>
          <w:jc w:val="center"/>
        </w:trPr>
        <w:tc>
          <w:tcPr>
            <w:tcW w:w="1515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03C3FA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主要环境影响</w:t>
            </w:r>
          </w:p>
        </w:tc>
        <w:tc>
          <w:tcPr>
            <w:tcW w:w="1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71E94A">
            <w:pPr>
              <w:pStyle w:val="11"/>
              <w:spacing w:before="209"/>
              <w:ind w:left="131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"/>
                <w:sz w:val="21"/>
                <w:szCs w:val="21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spacing w:val="-1"/>
                <w:sz w:val="21"/>
                <w:szCs w:val="21"/>
              </w:rPr>
              <w:t>废气</w:t>
            </w:r>
            <w:r>
              <w:rPr>
                <w:rFonts w:hint="default" w:ascii="Times New Roman" w:hAnsi="Times New Roman" w:cs="Times New Roman"/>
                <w:spacing w:val="3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1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spacing w:val="-1"/>
                <w:sz w:val="21"/>
                <w:szCs w:val="21"/>
              </w:rPr>
              <w:t>废水</w:t>
            </w:r>
          </w:p>
          <w:p w14:paraId="1862303F">
            <w:pPr>
              <w:pStyle w:val="11"/>
              <w:spacing w:before="24"/>
              <w:ind w:left="131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生活污水</w:t>
            </w:r>
          </w:p>
          <w:p w14:paraId="18219CC2">
            <w:pPr>
              <w:pStyle w:val="11"/>
              <w:spacing w:before="24"/>
              <w:ind w:left="131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□生产废水</w:t>
            </w:r>
          </w:p>
          <w:p w14:paraId="05CE59AA">
            <w:pPr>
              <w:pStyle w:val="11"/>
              <w:spacing w:before="27"/>
              <w:ind w:left="131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"/>
                <w:sz w:val="21"/>
                <w:szCs w:val="21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spacing w:val="-1"/>
                <w:sz w:val="21"/>
                <w:szCs w:val="21"/>
              </w:rPr>
              <w:t>固废</w:t>
            </w:r>
            <w:r>
              <w:rPr>
                <w:rFonts w:hint="default" w:ascii="Times New Roman" w:hAnsi="Times New Roman" w:cs="Times New Roman"/>
                <w:spacing w:val="3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1"/>
                <w:szCs w:val="21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spacing w:val="-1"/>
                <w:sz w:val="21"/>
                <w:szCs w:val="21"/>
              </w:rPr>
              <w:t>噪声</w:t>
            </w:r>
          </w:p>
          <w:p w14:paraId="23E697B1">
            <w:pPr>
              <w:pStyle w:val="11"/>
              <w:spacing w:before="26"/>
              <w:ind w:left="131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3"/>
                <w:sz w:val="21"/>
                <w:szCs w:val="21"/>
              </w:rPr>
              <w:t>□生态影响</w:t>
            </w:r>
          </w:p>
          <w:p w14:paraId="61E65BBF">
            <w:pPr>
              <w:pStyle w:val="11"/>
              <w:spacing w:before="21"/>
              <w:ind w:left="131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□辐射环境</w:t>
            </w:r>
            <w:bookmarkStart w:id="4" w:name="_GoBack"/>
            <w:bookmarkEnd w:id="4"/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影响</w:t>
            </w:r>
          </w:p>
        </w:tc>
        <w:tc>
          <w:tcPr>
            <w:tcW w:w="8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49BF425">
            <w:pPr>
              <w:pStyle w:val="11"/>
              <w:spacing w:before="65"/>
              <w:ind w:left="113" w:right="104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12"/>
                <w:sz w:val="21"/>
                <w:szCs w:val="21"/>
              </w:rPr>
              <w:t>采取的环保措</w:t>
            </w:r>
            <w:r>
              <w:rPr>
                <w:rFonts w:hint="default" w:ascii="Times New Roman" w:hAnsi="Times New Roman" w:cs="Times New Roman"/>
                <w:spacing w:val="8"/>
                <w:sz w:val="21"/>
                <w:szCs w:val="21"/>
              </w:rPr>
              <w:t>施及排放去向</w:t>
            </w:r>
          </w:p>
        </w:tc>
        <w:tc>
          <w:tcPr>
            <w:tcW w:w="5034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</w:tcPr>
          <w:p w14:paraId="7B609288">
            <w:pPr>
              <w:pStyle w:val="11"/>
              <w:spacing w:before="73"/>
              <w:ind w:left="135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无环保措施：</w:t>
            </w:r>
          </w:p>
          <w:p w14:paraId="4AE91A6C">
            <w:pPr>
              <w:pStyle w:val="11"/>
              <w:spacing w:before="23"/>
              <w:ind w:left="105"/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</w:pPr>
            <w:bookmarkStart w:id="1" w:name="OLE_LINK2"/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u w:val="single"/>
                <w:lang w:val="en-US" w:eastAsia="zh-CN"/>
              </w:rPr>
              <w:t>裁切粉尘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直接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u w:val="single"/>
              </w:rPr>
              <w:t>无组织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排放至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u w:val="single"/>
              </w:rPr>
              <w:t>大气环境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。【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lang w:val="en-US" w:eastAsia="zh-CN"/>
              </w:rPr>
              <w:t>厂区内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颗粒物无组织排放《玻璃工业大气污染物排放标准》（GB 26453-2022）表B.1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lang w:val="en-US" w:eastAsia="zh-CN"/>
              </w:rPr>
              <w:t>限值，厂界颗粒物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无组织排放执行GB16297-1996《大气污染物综合排放标准》表2限值】</w:t>
            </w:r>
          </w:p>
          <w:p w14:paraId="0987377C">
            <w:pPr>
              <w:pStyle w:val="11"/>
              <w:spacing w:before="25"/>
              <w:ind w:left="135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有环保措施：</w:t>
            </w:r>
          </w:p>
          <w:p w14:paraId="394A708D">
            <w:pPr>
              <w:pStyle w:val="11"/>
              <w:spacing w:before="25"/>
              <w:ind w:left="114" w:right="105" w:firstLine="21"/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</w:pPr>
            <w:bookmarkStart w:id="2" w:name="OLE_LINK44"/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u w:val="single"/>
                <w:lang w:val="en-US" w:eastAsia="zh-CN"/>
              </w:rPr>
              <w:t>粉碎粉尘</w:t>
            </w:r>
            <w:bookmarkEnd w:id="2"/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u w:val="single"/>
                <w:lang w:val="en-US" w:eastAsia="zh-CN"/>
              </w:rPr>
              <w:t>、</w:t>
            </w:r>
            <w:bookmarkStart w:id="3" w:name="OLE_LINK45"/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u w:val="single"/>
                <w:lang w:val="en-US" w:eastAsia="zh-CN"/>
              </w:rPr>
              <w:t>筛选粉尘</w:t>
            </w:r>
            <w:bookmarkEnd w:id="3"/>
            <w:r>
              <w:rPr>
                <w:rFonts w:hint="default" w:ascii="Times New Roman" w:hAnsi="Times New Roman" w:cs="Times New Roman"/>
                <w:sz w:val="21"/>
                <w:szCs w:val="21"/>
              </w:rPr>
              <w:t>采取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  <w:lang w:val="en-US" w:eastAsia="zh-CN"/>
              </w:rPr>
              <w:t>密闭操作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措施后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直接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u w:val="single"/>
              </w:rPr>
              <w:t>无组织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排放至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u w:val="single"/>
              </w:rPr>
              <w:t>大气环境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。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【颗粒物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lang w:val="en-US" w:eastAsia="zh-CN"/>
              </w:rPr>
              <w:t>厂区内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无组织排放《玻璃工业大气污染物排放标准》（GB 26453-2022）表B.1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lang w:val="en-US" w:eastAsia="zh-CN"/>
              </w:rPr>
              <w:t>限值，厂界颗粒物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无组织排放执行GB16297-1996《大气污染物综合排放标准》表2限值】</w:t>
            </w:r>
          </w:p>
          <w:p w14:paraId="74CC0A8C">
            <w:pPr>
              <w:pStyle w:val="11"/>
              <w:spacing w:before="25"/>
              <w:ind w:left="114" w:right="105" w:firstLine="21"/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>球磨粉尘、烘干废气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采取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  <w:lang w:val="en-US" w:eastAsia="zh-CN"/>
              </w:rPr>
              <w:t>布袋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>除尘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措施后通过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>排气筒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排放至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>大气环境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。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【DA004，排气筒高度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m，颗粒物排放执行《玻璃工业大气污染物排放标准》（GB 26453-2022）表1限值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lang w:eastAsia="zh-CN"/>
              </w:rPr>
              <w:t>，SO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vertAlign w:val="subscript"/>
                <w:lang w:eastAsia="zh-CN"/>
              </w:rPr>
              <w:t>2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lang w:eastAsia="zh-CN"/>
              </w:rPr>
              <w:t>、NOx排放执行《工业炉窑大气污染物排放标准》（GB9078-1996）、《关于印发浙江省工业炉窑大气污染综合治理实施方案的通知》（浙环函〔2019〕315号）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lang w:val="en-US" w:eastAsia="zh-CN"/>
              </w:rPr>
              <w:t>限值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】</w:t>
            </w:r>
          </w:p>
          <w:p w14:paraId="56A30914">
            <w:pPr>
              <w:pStyle w:val="11"/>
              <w:spacing w:before="25"/>
              <w:ind w:left="114" w:right="105" w:firstLine="21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  <w:lang w:val="en-US" w:eastAsia="zh-CN"/>
              </w:rPr>
              <w:t>锅炉烟气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采取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  <w:lang w:val="en-US" w:eastAsia="zh-CN"/>
              </w:rPr>
              <w:t>低氮燃烧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措施后通过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>排气筒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排放至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>大气环境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。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【DA00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，排气筒高度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5m，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lang w:val="en-US" w:eastAsia="zh-CN"/>
              </w:rPr>
              <w:t>颗粒物、SO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lang w:val="en-US" w:eastAsia="zh-CN"/>
              </w:rPr>
              <w:t>、NOx执行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《锅炉大气污染物排放标准》（GB13271-2014）表3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lang w:eastAsia="zh-CN"/>
              </w:rPr>
              <w:t>、《关于进一步明确杭州市燃气锅炉低氮改造有关事项的通知》（杭大气办[2020]13号）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  <w:lang w:val="en-US" w:eastAsia="zh-CN"/>
              </w:rPr>
              <w:t>限值</w:t>
            </w:r>
            <w:r>
              <w:rPr>
                <w:rFonts w:hint="default" w:ascii="Times New Roman" w:hAnsi="Times New Roman" w:cs="Times New Roman"/>
                <w:spacing w:val="5"/>
                <w:sz w:val="21"/>
                <w:szCs w:val="21"/>
              </w:rPr>
              <w:t>】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ab/>
            </w:r>
          </w:p>
          <w:bookmarkEnd w:id="1"/>
          <w:p w14:paraId="740760F9">
            <w:pPr>
              <w:pStyle w:val="11"/>
              <w:spacing w:before="24"/>
              <w:ind w:left="135"/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spacing w:val="4"/>
                <w:sz w:val="21"/>
                <w:szCs w:val="21"/>
              </w:rPr>
              <w:t>其他措施：</w:t>
            </w:r>
          </w:p>
          <w:p w14:paraId="4184B5BF">
            <w:pPr>
              <w:pStyle w:val="11"/>
              <w:spacing w:before="24"/>
              <w:ind w:left="135"/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>噪声：对高噪声设备采取隔声、吸声/消声、减震、厂房隔声等降噪措施，加强设备的维护，确保设备处于良好的运转状态。</w:t>
            </w:r>
          </w:p>
          <w:p w14:paraId="7E21D7FE">
            <w:pPr>
              <w:pStyle w:val="11"/>
              <w:spacing w:before="24"/>
              <w:ind w:left="135"/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>固废：边角料、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  <w:lang w:val="en-US" w:eastAsia="zh-CN"/>
              </w:rPr>
              <w:t>玻璃渣、集尘灰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>等一般固废委托有关单位综合利用或处置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。</w:t>
            </w:r>
          </w:p>
        </w:tc>
      </w:tr>
      <w:tr w14:paraId="68FE51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  <w:jc w:val="center"/>
        </w:trPr>
        <w:tc>
          <w:tcPr>
            <w:tcW w:w="1515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0158F3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>总量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控制</w:t>
            </w: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>指标</w:t>
            </w:r>
          </w:p>
        </w:tc>
        <w:tc>
          <w:tcPr>
            <w:tcW w:w="7549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39012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48" w:firstLineChars="200"/>
              <w:textAlignment w:val="auto"/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>本次技改后全厂总量建议值为：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</w:rPr>
              <w:t>COD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  <w:lang w:val="en-US" w:eastAsia="zh-CN"/>
              </w:rPr>
              <w:t>12.139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</w:rPr>
              <w:t>t/a、NH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  <w:vertAlign w:val="subscript"/>
              </w:rPr>
              <w:t>3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</w:rPr>
              <w:t>-N0.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  <w:lang w:val="en-US" w:eastAsia="zh-CN"/>
              </w:rPr>
              <w:t>607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</w:rPr>
              <w:t>t/a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</w:rPr>
              <w:t>SO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  <w:vertAlign w:val="subscript"/>
              </w:rPr>
              <w:t>2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  <w:lang w:val="en-US" w:eastAsia="zh-CN"/>
              </w:rPr>
              <w:t>19.18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</w:rPr>
              <w:t xml:space="preserve">t/a、NOx 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  <w:lang w:val="en-US" w:eastAsia="zh-CN"/>
              </w:rPr>
              <w:t>46.727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</w:rPr>
              <w:t xml:space="preserve">t/a、VOCs 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  <w:lang w:val="en-US" w:eastAsia="zh-CN"/>
              </w:rPr>
              <w:t>0.003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</w:rPr>
              <w:t>t/a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  <w:lang w:eastAsia="zh-CN"/>
              </w:rPr>
              <w:t>，项目不新增COD、NH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  <w:vertAlign w:val="subscript"/>
                <w:lang w:eastAsia="zh-CN"/>
              </w:rPr>
              <w:t>3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  <w:lang w:eastAsia="zh-CN"/>
              </w:rPr>
              <w:t>-N、SO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  <w:vertAlign w:val="subscript"/>
                <w:lang w:eastAsia="zh-CN"/>
              </w:rPr>
              <w:t>2</w:t>
            </w:r>
            <w:r>
              <w:rPr>
                <w:rFonts w:hint="eastAsia" w:ascii="Times New Roman" w:hAnsi="Times New Roman" w:cs="Times New Roman"/>
                <w:spacing w:val="7"/>
                <w:sz w:val="21"/>
                <w:szCs w:val="21"/>
                <w:lang w:eastAsia="zh-CN"/>
              </w:rPr>
              <w:t>、NOx、VOCs排放量。</w:t>
            </w:r>
          </w:p>
        </w:tc>
      </w:tr>
      <w:tr w14:paraId="30B747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7" w:hRule="atLeast"/>
          <w:jc w:val="center"/>
        </w:trPr>
        <w:tc>
          <w:tcPr>
            <w:tcW w:w="9064" w:type="dxa"/>
            <w:gridSpan w:val="6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14:paraId="72E583EA">
            <w:pPr>
              <w:pStyle w:val="11"/>
              <w:spacing w:before="40"/>
              <w:ind w:left="109" w:right="102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11"/>
                <w:sz w:val="21"/>
                <w:szCs w:val="21"/>
              </w:rPr>
              <w:t>承诺：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欧文斯科宁复合材料（中国）有限公司及PAUL WEI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>承诺所填写各项内容真实、准确、</w:t>
            </w: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>完整。建设项目符合“</w:t>
            </w:r>
            <w:r>
              <w:rPr>
                <w:rFonts w:hint="default" w:ascii="Times New Roman" w:hAnsi="Times New Roman" w:cs="Times New Roman"/>
                <w:spacing w:val="-77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>区域环评+环境标准</w:t>
            </w:r>
            <w:r>
              <w:rPr>
                <w:rFonts w:hint="default" w:ascii="Times New Roman" w:hAnsi="Times New Roman" w:cs="Times New Roman"/>
                <w:spacing w:val="-7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>”改革相关</w:t>
            </w:r>
            <w:r>
              <w:rPr>
                <w:rFonts w:hint="default" w:ascii="Times New Roman" w:hAnsi="Times New Roman" w:cs="Times New Roman"/>
                <w:spacing w:val="6"/>
                <w:sz w:val="21"/>
                <w:szCs w:val="21"/>
              </w:rPr>
              <w:t>条件，是环境影响报告表简化为环境影响登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>记表项目。涉及总量控制的项目，投产前取得污染物排放总量指标，并落实区域削减平衡方案。</w:t>
            </w:r>
            <w:r>
              <w:rPr>
                <w:rFonts w:hint="default" w:ascii="Times New Roman" w:hAnsi="Times New Roman" w:cs="Times New Roman"/>
                <w:spacing w:val="9"/>
                <w:sz w:val="21"/>
                <w:szCs w:val="21"/>
              </w:rPr>
              <w:t>如存在弄虚作假、隐瞒欺骗等情况及由此导致的一切后果由：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欧文斯科宁复合材料（中国）有限公司及PAUL WEI</w:t>
            </w:r>
            <w:r>
              <w:rPr>
                <w:rFonts w:hint="default" w:ascii="Times New Roman" w:hAnsi="Times New Roman" w:cs="Times New Roman"/>
                <w:spacing w:val="8"/>
                <w:sz w:val="21"/>
                <w:szCs w:val="21"/>
              </w:rPr>
              <w:t>承担全部责任。</w:t>
            </w:r>
          </w:p>
          <w:p w14:paraId="4D7585F2">
            <w:pPr>
              <w:pStyle w:val="11"/>
              <w:spacing w:before="24"/>
              <w:ind w:left="4205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9"/>
                <w:sz w:val="21"/>
                <w:szCs w:val="21"/>
              </w:rPr>
              <w:t>法定代表人或者主要负责人签字：</w:t>
            </w:r>
          </w:p>
        </w:tc>
      </w:tr>
      <w:tr w14:paraId="0DF424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  <w:jc w:val="center"/>
        </w:trPr>
        <w:tc>
          <w:tcPr>
            <w:tcW w:w="9064" w:type="dxa"/>
            <w:gridSpan w:val="6"/>
            <w:tcBorders>
              <w:top w:val="single" w:color="000000" w:sz="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050265">
            <w:pPr>
              <w:pStyle w:val="11"/>
              <w:spacing w:before="173"/>
              <w:ind w:left="112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7"/>
                <w:sz w:val="21"/>
                <w:szCs w:val="21"/>
              </w:rPr>
              <w:t>备案回执</w:t>
            </w:r>
          </w:p>
          <w:p w14:paraId="0A782E4C">
            <w:pPr>
              <w:pStyle w:val="11"/>
              <w:spacing w:before="24"/>
              <w:ind w:left="533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>该项目环境影响登记表已经完成备案，备案号：杭环临平改备﹝2024﹞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  <w:u w:val="single"/>
              </w:rPr>
              <w:t xml:space="preserve">          </w:t>
            </w:r>
            <w:r>
              <w:rPr>
                <w:rFonts w:hint="default" w:ascii="Times New Roman" w:hAnsi="Times New Roman" w:cs="Times New Roman"/>
                <w:spacing w:val="10"/>
                <w:sz w:val="21"/>
                <w:szCs w:val="21"/>
              </w:rPr>
              <w:t>号。</w:t>
            </w:r>
          </w:p>
        </w:tc>
      </w:tr>
    </w:tbl>
    <w:p w14:paraId="04C6E733">
      <w:pPr>
        <w:rPr>
          <w:rFonts w:ascii="黑体" w:hAnsi="黑体" w:eastAsia="黑体"/>
          <w:spacing w:val="-6"/>
          <w:sz w:val="35"/>
          <w:szCs w:val="35"/>
        </w:rPr>
      </w:pPr>
      <w:r>
        <w:rPr>
          <w:rFonts w:ascii="Arial" w:hAnsi="Arial" w:cs="Arial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commondata" w:val="eyJoZGlkIjoiN2YwY2U3NGU1MzA0OGY1ZjZjODViODI1ODBiY2UxOGMifQ=="/>
  </w:docVars>
  <w:rsids>
    <w:rsidRoot w:val="0081016E"/>
    <w:rsid w:val="00042E7E"/>
    <w:rsid w:val="0004535D"/>
    <w:rsid w:val="000F52BF"/>
    <w:rsid w:val="0012539A"/>
    <w:rsid w:val="00176F15"/>
    <w:rsid w:val="001C27E8"/>
    <w:rsid w:val="0020381E"/>
    <w:rsid w:val="00232CA1"/>
    <w:rsid w:val="00245485"/>
    <w:rsid w:val="0025030D"/>
    <w:rsid w:val="00283FED"/>
    <w:rsid w:val="002D4BF8"/>
    <w:rsid w:val="002E6413"/>
    <w:rsid w:val="00304BB6"/>
    <w:rsid w:val="00331A8B"/>
    <w:rsid w:val="00381728"/>
    <w:rsid w:val="00387382"/>
    <w:rsid w:val="003A746D"/>
    <w:rsid w:val="003C54F4"/>
    <w:rsid w:val="003C7988"/>
    <w:rsid w:val="003D1B68"/>
    <w:rsid w:val="004324C8"/>
    <w:rsid w:val="004B66C1"/>
    <w:rsid w:val="00532C85"/>
    <w:rsid w:val="00557485"/>
    <w:rsid w:val="005878D6"/>
    <w:rsid w:val="00590AF1"/>
    <w:rsid w:val="005E1A9A"/>
    <w:rsid w:val="005F6D68"/>
    <w:rsid w:val="00603860"/>
    <w:rsid w:val="00634431"/>
    <w:rsid w:val="006E6AAE"/>
    <w:rsid w:val="007B7199"/>
    <w:rsid w:val="0081016E"/>
    <w:rsid w:val="00823BAF"/>
    <w:rsid w:val="008463F2"/>
    <w:rsid w:val="00885B23"/>
    <w:rsid w:val="008D1278"/>
    <w:rsid w:val="008F2489"/>
    <w:rsid w:val="008F3759"/>
    <w:rsid w:val="008F501F"/>
    <w:rsid w:val="00920773"/>
    <w:rsid w:val="0093116E"/>
    <w:rsid w:val="00935B43"/>
    <w:rsid w:val="009A36E9"/>
    <w:rsid w:val="009A5159"/>
    <w:rsid w:val="009A75B4"/>
    <w:rsid w:val="009C277F"/>
    <w:rsid w:val="009E0836"/>
    <w:rsid w:val="009E591A"/>
    <w:rsid w:val="00A03731"/>
    <w:rsid w:val="00A52B4A"/>
    <w:rsid w:val="00A859AD"/>
    <w:rsid w:val="00A8609D"/>
    <w:rsid w:val="00A8681F"/>
    <w:rsid w:val="00B9516B"/>
    <w:rsid w:val="00CE0D70"/>
    <w:rsid w:val="00D3691F"/>
    <w:rsid w:val="00D741D8"/>
    <w:rsid w:val="00D83B62"/>
    <w:rsid w:val="00DA6608"/>
    <w:rsid w:val="00DB77D6"/>
    <w:rsid w:val="00DD0013"/>
    <w:rsid w:val="00DD4E15"/>
    <w:rsid w:val="00DD7749"/>
    <w:rsid w:val="00E34057"/>
    <w:rsid w:val="00E733E1"/>
    <w:rsid w:val="00EC600C"/>
    <w:rsid w:val="00ED5E1E"/>
    <w:rsid w:val="00ED6B2A"/>
    <w:rsid w:val="00EF6F00"/>
    <w:rsid w:val="00F4008A"/>
    <w:rsid w:val="04BF1DBF"/>
    <w:rsid w:val="051A60E2"/>
    <w:rsid w:val="05FB0B46"/>
    <w:rsid w:val="063D7E55"/>
    <w:rsid w:val="06C00F4C"/>
    <w:rsid w:val="098970AF"/>
    <w:rsid w:val="0AA81A64"/>
    <w:rsid w:val="0B070A5E"/>
    <w:rsid w:val="0E9C5834"/>
    <w:rsid w:val="0F00541F"/>
    <w:rsid w:val="0F8B2F3A"/>
    <w:rsid w:val="0FC07391"/>
    <w:rsid w:val="0FD4257E"/>
    <w:rsid w:val="14976BA1"/>
    <w:rsid w:val="15396F94"/>
    <w:rsid w:val="188467C5"/>
    <w:rsid w:val="18E65685"/>
    <w:rsid w:val="19AC242B"/>
    <w:rsid w:val="19B530AA"/>
    <w:rsid w:val="1D8D1778"/>
    <w:rsid w:val="1E3D5D47"/>
    <w:rsid w:val="1E780D78"/>
    <w:rsid w:val="1EF43539"/>
    <w:rsid w:val="1F1943BE"/>
    <w:rsid w:val="200212F0"/>
    <w:rsid w:val="214D0C91"/>
    <w:rsid w:val="22E03145"/>
    <w:rsid w:val="234541E4"/>
    <w:rsid w:val="235002CB"/>
    <w:rsid w:val="24AF4B7D"/>
    <w:rsid w:val="25437474"/>
    <w:rsid w:val="258C072F"/>
    <w:rsid w:val="273B1B53"/>
    <w:rsid w:val="295C0655"/>
    <w:rsid w:val="29C979B0"/>
    <w:rsid w:val="2B282AE0"/>
    <w:rsid w:val="2BA411B4"/>
    <w:rsid w:val="2ECD4EFB"/>
    <w:rsid w:val="315E0057"/>
    <w:rsid w:val="337B4EF0"/>
    <w:rsid w:val="345968B4"/>
    <w:rsid w:val="348C5BB9"/>
    <w:rsid w:val="36E92171"/>
    <w:rsid w:val="38B623A4"/>
    <w:rsid w:val="39C13020"/>
    <w:rsid w:val="3F617AEF"/>
    <w:rsid w:val="40885BAC"/>
    <w:rsid w:val="417C3EAB"/>
    <w:rsid w:val="419B675D"/>
    <w:rsid w:val="42266E87"/>
    <w:rsid w:val="42BA0A70"/>
    <w:rsid w:val="466B0DF4"/>
    <w:rsid w:val="4BB01057"/>
    <w:rsid w:val="4C9E35A6"/>
    <w:rsid w:val="4CA26ECE"/>
    <w:rsid w:val="4D6C4E1C"/>
    <w:rsid w:val="4EB64BD7"/>
    <w:rsid w:val="52AA6800"/>
    <w:rsid w:val="54006F02"/>
    <w:rsid w:val="543770F8"/>
    <w:rsid w:val="563C00B7"/>
    <w:rsid w:val="56B802D4"/>
    <w:rsid w:val="5F757F8C"/>
    <w:rsid w:val="6367269B"/>
    <w:rsid w:val="6400335E"/>
    <w:rsid w:val="64CC2606"/>
    <w:rsid w:val="65C22EB0"/>
    <w:rsid w:val="69112CDD"/>
    <w:rsid w:val="6A3577B1"/>
    <w:rsid w:val="6CA0308B"/>
    <w:rsid w:val="6DF90CBB"/>
    <w:rsid w:val="6E741186"/>
    <w:rsid w:val="6FC86C89"/>
    <w:rsid w:val="738A19B2"/>
    <w:rsid w:val="768A24AD"/>
    <w:rsid w:val="7BB9315F"/>
    <w:rsid w:val="7F82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autoRedefine/>
    <w:semiHidden/>
    <w:unhideWhenUsed/>
    <w:qFormat/>
    <w:uiPriority w:val="99"/>
    <w:rPr>
      <w:rFonts w:ascii="仿宋" w:hAnsi="仿宋" w:eastAsia="仿宋" w:cs="宋体"/>
      <w:sz w:val="30"/>
      <w:szCs w:val="30"/>
    </w:r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autoRedefine/>
    <w:semiHidden/>
    <w:qFormat/>
    <w:uiPriority w:val="99"/>
    <w:rPr>
      <w:rFonts w:ascii="仿宋" w:hAnsi="仿宋" w:eastAsia="仿宋" w:cs="宋体"/>
      <w:sz w:val="30"/>
      <w:szCs w:val="30"/>
    </w:rPr>
  </w:style>
  <w:style w:type="paragraph" w:customStyle="1" w:styleId="11">
    <w:name w:val="Table Text"/>
    <w:basedOn w:val="1"/>
    <w:autoRedefine/>
    <w:semiHidden/>
    <w:qFormat/>
    <w:uiPriority w:val="0"/>
    <w:rPr>
      <w:rFonts w:ascii="宋体" w:hAnsi="宋体" w:cs="宋体"/>
      <w:sz w:val="20"/>
      <w:szCs w:val="20"/>
    </w:rPr>
  </w:style>
  <w:style w:type="character" w:customStyle="1" w:styleId="12">
    <w:name w:val="批注框文本 Char"/>
    <w:basedOn w:val="7"/>
    <w:link w:val="3"/>
    <w:autoRedefine/>
    <w:semiHidden/>
    <w:qFormat/>
    <w:uiPriority w:val="99"/>
    <w:rPr>
      <w:rFonts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300C3-4F0A-4B25-86DB-CFD1839DE0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1538</Words>
  <Characters>1776</Characters>
  <Lines>17</Lines>
  <Paragraphs>4</Paragraphs>
  <TotalTime>0</TotalTime>
  <ScaleCrop>false</ScaleCrop>
  <LinksUpToDate>false</LinksUpToDate>
  <CharactersWithSpaces>1847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2024-02-06T08:58:00Z</dcterms:created>
  <dc:creator>H</dc:creator>
  <cp:lastModifiedBy>丫叉宝</cp:lastModifiedBy>
  <cp:lastPrinted>2024-03-21T01:41:00Z</cp:lastPrinted>
  <dcterms:modified xsi:type="dcterms:W3CDTF">2024-10-08T07:43:13Z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B9C81C6B09364A20A012C9D49D09DDB4_13</vt:lpwstr>
  </property>
</Properties>
</file>